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F15" w:rsidRDefault="00F77F15">
      <w:pPr>
        <w:pStyle w:val="Titre"/>
      </w:pPr>
      <w:bookmarkStart w:id="0" w:name="_GoBack"/>
      <w:bookmarkEnd w:id="0"/>
      <w:r>
        <w:t>A Flow Stream Approach for Process Cell Modularization</w:t>
      </w:r>
    </w:p>
    <w:p w:rsidR="00F77F15" w:rsidRDefault="00F77F15">
      <w:pPr>
        <w:jc w:val="center"/>
      </w:pPr>
      <w:r>
        <w:t xml:space="preserve">Presented at the </w:t>
      </w:r>
    </w:p>
    <w:p w:rsidR="00F77F15" w:rsidRDefault="00F77F15">
      <w:pPr>
        <w:jc w:val="center"/>
      </w:pPr>
      <w:r>
        <w:t>World Batch Forum</w:t>
      </w:r>
    </w:p>
    <w:p w:rsidR="00F77F15" w:rsidRDefault="00F77F15"/>
    <w:tbl>
      <w:tblPr>
        <w:tblW w:w="0" w:type="auto"/>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5"/>
        <w:gridCol w:w="2795"/>
        <w:gridCol w:w="3240"/>
      </w:tblGrid>
      <w:tr w:rsidR="00F77F15">
        <w:tblPrEx>
          <w:tblCellMar>
            <w:top w:w="0" w:type="dxa"/>
            <w:bottom w:w="0" w:type="dxa"/>
          </w:tblCellMar>
        </w:tblPrEx>
        <w:tc>
          <w:tcPr>
            <w:tcW w:w="4115" w:type="dxa"/>
            <w:tcBorders>
              <w:left w:val="nil"/>
            </w:tcBorders>
          </w:tcPr>
          <w:p w:rsidR="00F77F15" w:rsidRDefault="00F77F15">
            <w:pPr>
              <w:spacing w:before="0" w:after="0"/>
              <w:rPr>
                <w:sz w:val="28"/>
                <w:lang w:val="fr-FR"/>
              </w:rPr>
            </w:pPr>
            <w:r>
              <w:rPr>
                <w:sz w:val="28"/>
                <w:lang w:val="fr-FR"/>
              </w:rPr>
              <w:t>François Lebourgeois</w:t>
            </w:r>
          </w:p>
          <w:p w:rsidR="00F77F15" w:rsidRDefault="00F77F15">
            <w:pPr>
              <w:pStyle w:val="Corpsdetexte2"/>
              <w:spacing w:before="0" w:after="0"/>
            </w:pPr>
            <w:r>
              <w:t xml:space="preserve">Automation Technology Experts Manager </w:t>
            </w:r>
          </w:p>
          <w:p w:rsidR="00F77F15" w:rsidRDefault="00F77F15">
            <w:pPr>
              <w:spacing w:before="0" w:after="0"/>
              <w:rPr>
                <w:sz w:val="28"/>
                <w:lang w:val="fr-FR"/>
              </w:rPr>
            </w:pPr>
            <w:r>
              <w:rPr>
                <w:sz w:val="28"/>
                <w:lang w:val="fr-FR"/>
              </w:rPr>
              <w:t>Rhone Poulenc CRIT Decines</w:t>
            </w:r>
          </w:p>
          <w:p w:rsidR="00F77F15" w:rsidRDefault="00F77F15">
            <w:pPr>
              <w:spacing w:before="0" w:after="0"/>
              <w:rPr>
                <w:sz w:val="28"/>
                <w:lang w:val="fr-FR"/>
              </w:rPr>
            </w:pPr>
            <w:r>
              <w:rPr>
                <w:sz w:val="28"/>
                <w:lang w:val="fr-FR"/>
              </w:rPr>
              <w:t>24, av. Jean Jaures BP166</w:t>
            </w:r>
          </w:p>
          <w:p w:rsidR="00F77F15" w:rsidRDefault="00F77F15">
            <w:pPr>
              <w:spacing w:before="0" w:after="0"/>
              <w:rPr>
                <w:sz w:val="28"/>
                <w:lang w:val="fr-FR"/>
              </w:rPr>
            </w:pPr>
            <w:r>
              <w:rPr>
                <w:sz w:val="28"/>
                <w:lang w:val="fr-FR"/>
              </w:rPr>
              <w:t>69153 Decines-Charpieu (France)</w:t>
            </w:r>
          </w:p>
          <w:p w:rsidR="00F77F15" w:rsidRDefault="00F77F15">
            <w:pPr>
              <w:spacing w:before="0" w:after="0"/>
              <w:rPr>
                <w:sz w:val="28"/>
                <w:lang w:val="fr-FR"/>
              </w:rPr>
            </w:pPr>
            <w:r>
              <w:rPr>
                <w:sz w:val="28"/>
                <w:lang w:val="fr-FR"/>
              </w:rPr>
              <w:t>+33 (04) 72 93 50 82</w:t>
            </w:r>
          </w:p>
          <w:p w:rsidR="00F77F15" w:rsidRDefault="00F77F15">
            <w:pPr>
              <w:spacing w:before="0" w:after="0"/>
              <w:rPr>
                <w:sz w:val="28"/>
                <w:lang w:val="fr-FR"/>
              </w:rPr>
            </w:pPr>
            <w:r>
              <w:rPr>
                <w:sz w:val="28"/>
                <w:lang w:val="fr-FR"/>
              </w:rPr>
              <w:t>fsleb@club-internet.fr</w:t>
            </w:r>
          </w:p>
        </w:tc>
        <w:tc>
          <w:tcPr>
            <w:tcW w:w="2795" w:type="dxa"/>
            <w:tcBorders>
              <w:left w:val="nil"/>
            </w:tcBorders>
          </w:tcPr>
          <w:p w:rsidR="00F77F15" w:rsidRDefault="00F77F15">
            <w:pPr>
              <w:spacing w:before="0" w:after="0"/>
              <w:rPr>
                <w:sz w:val="28"/>
                <w:lang w:val="fr-FR"/>
              </w:rPr>
            </w:pPr>
            <w:r>
              <w:rPr>
                <w:sz w:val="28"/>
                <w:lang w:val="fr-FR"/>
              </w:rPr>
              <w:t>Jean-Michel Rayon</w:t>
            </w:r>
          </w:p>
          <w:p w:rsidR="00F77F15" w:rsidRDefault="00F77F15">
            <w:pPr>
              <w:spacing w:before="0" w:after="0"/>
              <w:rPr>
                <w:sz w:val="28"/>
                <w:lang w:val="fr-FR"/>
              </w:rPr>
            </w:pPr>
            <w:r>
              <w:rPr>
                <w:sz w:val="28"/>
                <w:lang w:val="fr-FR"/>
              </w:rPr>
              <w:t>Consultant</w:t>
            </w:r>
          </w:p>
          <w:p w:rsidR="00F77F15" w:rsidRDefault="00F77F15">
            <w:pPr>
              <w:spacing w:before="0" w:after="0"/>
              <w:rPr>
                <w:sz w:val="28"/>
                <w:lang w:val="fr-FR"/>
              </w:rPr>
            </w:pPr>
          </w:p>
          <w:p w:rsidR="00F77F15" w:rsidRDefault="00F77F15">
            <w:pPr>
              <w:spacing w:before="0" w:after="0"/>
              <w:rPr>
                <w:sz w:val="28"/>
                <w:lang w:val="fr-FR"/>
              </w:rPr>
            </w:pPr>
            <w:r>
              <w:rPr>
                <w:sz w:val="28"/>
                <w:lang w:val="fr-FR"/>
              </w:rPr>
              <w:t>JMR Conseils</w:t>
            </w:r>
          </w:p>
          <w:p w:rsidR="00F77F15" w:rsidRDefault="00F77F15">
            <w:pPr>
              <w:spacing w:before="0" w:after="0"/>
              <w:rPr>
                <w:sz w:val="28"/>
                <w:lang w:val="fr-FR"/>
              </w:rPr>
            </w:pPr>
            <w:r>
              <w:rPr>
                <w:sz w:val="28"/>
                <w:lang w:val="fr-FR"/>
              </w:rPr>
              <w:t>3, allée des Florentines</w:t>
            </w:r>
          </w:p>
          <w:p w:rsidR="00F77F15" w:rsidRDefault="00F77F15">
            <w:pPr>
              <w:spacing w:before="0" w:after="0"/>
              <w:rPr>
                <w:sz w:val="28"/>
                <w:lang w:val="fr-FR"/>
              </w:rPr>
            </w:pPr>
            <w:r>
              <w:rPr>
                <w:sz w:val="28"/>
                <w:lang w:val="fr-FR"/>
              </w:rPr>
              <w:t>38420 Meylan (France)</w:t>
            </w:r>
          </w:p>
          <w:p w:rsidR="00F77F15" w:rsidRDefault="00F77F15">
            <w:pPr>
              <w:spacing w:before="0" w:after="0"/>
              <w:rPr>
                <w:sz w:val="28"/>
                <w:lang w:val="fr-FR"/>
              </w:rPr>
            </w:pPr>
            <w:r>
              <w:rPr>
                <w:sz w:val="28"/>
                <w:lang w:val="fr-FR"/>
              </w:rPr>
              <w:t>+33 (04) 76 41 85 26</w:t>
            </w:r>
          </w:p>
          <w:p w:rsidR="00F77F15" w:rsidRDefault="00F77F15">
            <w:pPr>
              <w:spacing w:before="0" w:after="0"/>
              <w:rPr>
                <w:sz w:val="28"/>
                <w:lang w:val="fr-FR"/>
              </w:rPr>
            </w:pPr>
            <w:r>
              <w:rPr>
                <w:sz w:val="28"/>
                <w:lang w:val="fr-FR"/>
              </w:rPr>
              <w:t>jmrayon@easynet.fr</w:t>
            </w:r>
          </w:p>
        </w:tc>
        <w:tc>
          <w:tcPr>
            <w:tcW w:w="3240" w:type="dxa"/>
            <w:tcBorders>
              <w:left w:val="nil"/>
            </w:tcBorders>
          </w:tcPr>
          <w:p w:rsidR="00F77F15" w:rsidRDefault="00F77F15">
            <w:pPr>
              <w:spacing w:before="0" w:after="0"/>
              <w:rPr>
                <w:sz w:val="28"/>
                <w:lang w:val="fr-FR"/>
              </w:rPr>
            </w:pPr>
            <w:r>
              <w:rPr>
                <w:sz w:val="28"/>
                <w:lang w:val="fr-FR"/>
              </w:rPr>
              <w:t>Jean Vieille</w:t>
            </w:r>
          </w:p>
          <w:p w:rsidR="00F77F15" w:rsidRDefault="00F77F15">
            <w:pPr>
              <w:spacing w:before="0" w:after="0"/>
              <w:rPr>
                <w:sz w:val="28"/>
                <w:lang w:val="fr-FR"/>
              </w:rPr>
            </w:pPr>
            <w:r>
              <w:rPr>
                <w:sz w:val="28"/>
                <w:lang w:val="fr-FR"/>
              </w:rPr>
              <w:t>Consultant</w:t>
            </w:r>
          </w:p>
          <w:p w:rsidR="00F77F15" w:rsidRDefault="00F77F15">
            <w:pPr>
              <w:spacing w:before="0" w:after="0"/>
              <w:rPr>
                <w:sz w:val="28"/>
                <w:lang w:val="fr-FR"/>
              </w:rPr>
            </w:pPr>
          </w:p>
          <w:p w:rsidR="00F77F15" w:rsidRDefault="00F77F15">
            <w:pPr>
              <w:spacing w:before="0" w:after="0"/>
              <w:rPr>
                <w:sz w:val="28"/>
                <w:lang w:val="fr-FR"/>
              </w:rPr>
            </w:pPr>
          </w:p>
          <w:p w:rsidR="00F77F15" w:rsidRDefault="00F77F15">
            <w:pPr>
              <w:spacing w:before="0" w:after="0"/>
              <w:rPr>
                <w:sz w:val="28"/>
                <w:lang w:val="fr-FR"/>
              </w:rPr>
            </w:pPr>
            <w:r>
              <w:rPr>
                <w:sz w:val="28"/>
                <w:lang w:val="fr-FR"/>
              </w:rPr>
              <w:t>4, rue des Ecrivains BP46</w:t>
            </w:r>
          </w:p>
          <w:p w:rsidR="00F77F15" w:rsidRDefault="00F77F15">
            <w:pPr>
              <w:spacing w:before="0" w:after="0"/>
              <w:rPr>
                <w:sz w:val="28"/>
                <w:lang w:val="fr-FR"/>
              </w:rPr>
            </w:pPr>
            <w:r>
              <w:rPr>
                <w:sz w:val="28"/>
                <w:lang w:val="fr-FR"/>
              </w:rPr>
              <w:t>67061 Strasbourg (France)</w:t>
            </w:r>
          </w:p>
          <w:p w:rsidR="00F77F15" w:rsidRDefault="00F77F15">
            <w:pPr>
              <w:spacing w:before="0" w:after="0"/>
              <w:rPr>
                <w:sz w:val="28"/>
                <w:lang w:val="fr-FR"/>
              </w:rPr>
            </w:pPr>
            <w:r>
              <w:rPr>
                <w:sz w:val="28"/>
                <w:lang w:val="fr-FR"/>
              </w:rPr>
              <w:t>+33 (03) 88 25 12 75</w:t>
            </w:r>
          </w:p>
          <w:p w:rsidR="00F77F15" w:rsidRDefault="00F77F15">
            <w:pPr>
              <w:spacing w:before="0" w:after="0"/>
              <w:rPr>
                <w:sz w:val="28"/>
                <w:lang w:val="fr-FR"/>
              </w:rPr>
            </w:pPr>
            <w:r>
              <w:rPr>
                <w:sz w:val="28"/>
                <w:lang w:val="fr-FR"/>
              </w:rPr>
              <w:t>jean-vieille@usa.net</w:t>
            </w:r>
          </w:p>
        </w:tc>
      </w:tr>
    </w:tbl>
    <w:p w:rsidR="00F77F15" w:rsidRDefault="00F77F15">
      <w:pPr>
        <w:pStyle w:val="En-tte"/>
        <w:tabs>
          <w:tab w:val="clear" w:pos="4320"/>
          <w:tab w:val="clear" w:pos="8640"/>
        </w:tabs>
        <w:rPr>
          <w:lang w:val="fr-FR"/>
        </w:rPr>
      </w:pPr>
      <w:r>
        <w:rPr>
          <w:lang w:val="fr-FR"/>
        </w:rPr>
        <w:tab/>
      </w:r>
      <w:r>
        <w:rPr>
          <w:lang w:val="fr-FR"/>
        </w:rPr>
        <w:tab/>
      </w:r>
    </w:p>
    <w:p w:rsidR="00F77F15" w:rsidRDefault="00F77F15">
      <w:pPr>
        <w:pStyle w:val="Titre1"/>
      </w:pPr>
      <w:r>
        <w:t>KEY WORDS</w:t>
      </w:r>
    </w:p>
    <w:p w:rsidR="00F77F15" w:rsidRDefault="00F77F15">
      <w:pPr>
        <w:jc w:val="center"/>
        <w:rPr>
          <w:sz w:val="28"/>
        </w:rPr>
      </w:pPr>
      <w:r>
        <w:t>ASTRID, S88, Process Modularization, Safe Operation</w:t>
      </w:r>
    </w:p>
    <w:p w:rsidR="00F77F15" w:rsidRDefault="00F77F15">
      <w:pPr>
        <w:pStyle w:val="Titre1"/>
      </w:pPr>
      <w:r>
        <w:t xml:space="preserve">ABSTRACT                           </w:t>
      </w:r>
    </w:p>
    <w:p w:rsidR="00F77F15" w:rsidRDefault="00F77F15">
      <w:r>
        <w:t>Many S88 implementation reports raise the issue of Process Cell breakdown into its lower level components (</w:t>
      </w:r>
      <w:r>
        <w:rPr>
          <w:i/>
          <w:iCs/>
        </w:rPr>
        <w:t>Units</w:t>
      </w:r>
      <w:r>
        <w:t xml:space="preserve">, </w:t>
      </w:r>
      <w:r>
        <w:rPr>
          <w:i/>
          <w:iCs/>
        </w:rPr>
        <w:t>Equipment Modules</w:t>
      </w:r>
      <w:r>
        <w:t xml:space="preserve"> and </w:t>
      </w:r>
      <w:r>
        <w:rPr>
          <w:i/>
          <w:iCs/>
        </w:rPr>
        <w:t>Control modules</w:t>
      </w:r>
      <w:r>
        <w:t>). From the “Top-Down” to the “Bottom-Up” through the mixed approaches, each project involves user preferences through specific guidelines.</w:t>
      </w:r>
    </w:p>
    <w:p w:rsidR="00F77F15" w:rsidRDefault="00F77F15">
      <w:pPr>
        <w:pStyle w:val="Corpsdetexte"/>
        <w:rPr>
          <w:lang w:val="en-US"/>
        </w:rPr>
      </w:pPr>
      <w:r>
        <w:rPr>
          <w:lang w:val="en-US"/>
        </w:rPr>
        <w:t xml:space="preserve">The S88 standard does not provide much information for the specification of </w:t>
      </w:r>
      <w:r>
        <w:rPr>
          <w:i/>
          <w:iCs/>
          <w:lang w:val="en-US"/>
        </w:rPr>
        <w:t>Control</w:t>
      </w:r>
      <w:r>
        <w:rPr>
          <w:lang w:val="en-US"/>
        </w:rPr>
        <w:t xml:space="preserve"> and </w:t>
      </w:r>
      <w:r>
        <w:rPr>
          <w:i/>
          <w:iCs/>
          <w:lang w:val="en-US"/>
        </w:rPr>
        <w:t>Equipment</w:t>
      </w:r>
      <w:r>
        <w:rPr>
          <w:lang w:val="en-US"/>
        </w:rPr>
        <w:t xml:space="preserve"> </w:t>
      </w:r>
      <w:r>
        <w:rPr>
          <w:i/>
          <w:iCs/>
          <w:lang w:val="en-US"/>
        </w:rPr>
        <w:t>modules</w:t>
      </w:r>
      <w:r>
        <w:rPr>
          <w:lang w:val="en-US"/>
        </w:rPr>
        <w:t xml:space="preserve"> boundaries. However, S88 provides more consistent guidelines to define the upper entities of process and procedural models. First issued in 1988, ASTRID complies surprisingly smoothly with S88. Its formalized bottom-up approach based on analytical check-up of material and energy flows, naturally leads to elementary equipment entities and process functionalities definition. Conversely, ASTRID leaves the field empty for higher-level considerations covered by S88. The respect of its pragmatic guidelines leads to straightforward, quite human independent, implementation. This results in highly structured functional specifications and robust implementations that are greatly appreciated for control systems design and Operational Qualification.</w:t>
      </w:r>
    </w:p>
    <w:p w:rsidR="00F77F15" w:rsidRDefault="00F77F15">
      <w:pPr>
        <w:pStyle w:val="Corpsdetexte"/>
        <w:rPr>
          <w:lang w:val="en-US"/>
        </w:rPr>
      </w:pPr>
      <w:r>
        <w:rPr>
          <w:lang w:val="en-US"/>
        </w:rPr>
        <w:t>This paper presents the main features of this methodology, a position statement regarding S88, the successes and issues after more than 10 years of development and implementation experience. This methodology is mainly supported by Rhone Poulenc and implemented in its French chemical and pharmaceutical plants. Its ambition is  to be adopted by other companies and abroad as an S88 Guideline companion.</w:t>
      </w:r>
    </w:p>
    <w:p w:rsidR="00F77F15" w:rsidRDefault="00F77F15">
      <w:pPr>
        <w:pStyle w:val="Titre1"/>
      </w:pPr>
      <w:r>
        <w:lastRenderedPageBreak/>
        <w:t>INTRODUCTION</w:t>
      </w:r>
    </w:p>
    <w:p w:rsidR="00F77F15" w:rsidRDefault="00F77F15">
      <w:r>
        <w:t>In the past, plants were designed for specific products. However, operating procedures, which describe how to make these products, were (are!) never fully defined when designing the process control system.</w:t>
      </w:r>
    </w:p>
    <w:p w:rsidR="00F77F15" w:rsidRDefault="00F77F15">
      <w:r>
        <w:t>Today, process industries begin to think in terms of Products with Customer and Strategy as the constraints and Process with optimized resources utilization as the goal. The plants are to be designed to produce the widest range of products. They must present their services in terms of processing capabilities rather than as product dedicated facilities. The Product making rules are no longer the reference for developing control systems.</w:t>
      </w:r>
    </w:p>
    <w:p w:rsidR="00F77F15" w:rsidRDefault="00F77F15">
      <w:r>
        <w:t>On the other hand, resource usage optimization means flexibility: Resources are dynamically allocated for making different products one after the other or at the same time in a given process cell. The safety issue is a major concern for preventing products to be mixed by opening a wrong valve.</w:t>
      </w:r>
    </w:p>
    <w:p w:rsidR="00F77F15" w:rsidRDefault="00F77F15">
      <w:r>
        <w:t>These are the main concerns, which led to the development of ASTRID. Isn’t it the S88 background too? However, ASTRID focuses on a very specific part of the S88 scope, and may contribute to define good engineering practices that can directly comply with S88 implementations.</w:t>
      </w:r>
    </w:p>
    <w:p w:rsidR="00F77F15" w:rsidRDefault="00F77F15">
      <w:pPr>
        <w:pStyle w:val="En-tte"/>
        <w:tabs>
          <w:tab w:val="clear" w:pos="4320"/>
          <w:tab w:val="clear" w:pos="8640"/>
        </w:tabs>
      </w:pPr>
      <w:r>
        <w:t>The story begins end of 1988. At that time, RHONE POULENC Health, Safety and Environment Management in collaboration with Jean-Michel RAYON introduced a new methodology for developing Operation Specifications for Multi-Product Process Cells. It was almost the date of birth of the SP88! However, the promoters of ASTRID never paid attention to the S88 work and developed their own method without any reference to it. Only recently have they tried to present ASTRID in a compatible format against S88. This work was supported by RHONE POULENC "Process Control Safety" WG, and concerned the three decision actors in plant operation:  Operator, Safety Interlock System and Control System.</w:t>
      </w:r>
    </w:p>
    <w:p w:rsidR="00F77F15" w:rsidRDefault="00F77F15">
      <w:pPr>
        <w:jc w:val="center"/>
      </w:pPr>
      <w:r>
        <w:object w:dxaOrig="10130" w:dyaOrig="36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110.4pt" o:ole="" fillcolor="window">
            <v:imagedata r:id="rId7" o:title=""/>
          </v:shape>
          <o:OLEObject Type="Embed" ProgID="MSDraw.Drawing.8.2" ShapeID="_x0000_i1025" DrawAspect="Content" ObjectID="_1529295280" r:id="rId8"/>
        </w:object>
      </w:r>
    </w:p>
    <w:p w:rsidR="00F77F15" w:rsidRDefault="00F77F15">
      <w:pPr>
        <w:pStyle w:val="Lgende"/>
        <w:jc w:val="center"/>
      </w:pPr>
      <w:r>
        <w:t xml:space="preserve">Figure </w:t>
      </w:r>
      <w:r>
        <w:fldChar w:fldCharType="begin"/>
      </w:r>
      <w:r>
        <w:instrText xml:space="preserve"> SEQ Figure \* ARABIC </w:instrText>
      </w:r>
      <w:r>
        <w:fldChar w:fldCharType="separate"/>
      </w:r>
      <w:r>
        <w:rPr>
          <w:noProof/>
        </w:rPr>
        <w:t>1</w:t>
      </w:r>
      <w:r>
        <w:fldChar w:fldCharType="end"/>
      </w:r>
      <w:r>
        <w:t xml:space="preserve"> - Decision actors in plant operation</w:t>
      </w:r>
    </w:p>
    <w:p w:rsidR="00F77F15" w:rsidRDefault="00F77F15">
      <w:pPr>
        <w:rPr>
          <w:vanish/>
        </w:rPr>
      </w:pPr>
    </w:p>
    <w:p w:rsidR="00F77F15" w:rsidRDefault="00F77F15">
      <w:pPr>
        <w:pStyle w:val="En-tte"/>
        <w:tabs>
          <w:tab w:val="clear" w:pos="4320"/>
          <w:tab w:val="clear" w:pos="8640"/>
        </w:tabs>
        <w:rPr>
          <w:vanish/>
        </w:rPr>
      </w:pPr>
      <w:r>
        <w:t xml:space="preserve">The objective was to define a way for safe operation of a multipurpose process cell with or without automation. The goals set with </w:t>
      </w:r>
    </w:p>
    <w:p w:rsidR="00F77F15" w:rsidRDefault="00F77F15">
      <w:r>
        <w:t>Field people were turned into a method:</w:t>
      </w:r>
    </w:p>
    <w:p w:rsidR="00F77F15" w:rsidRDefault="00F77F15">
      <w:pPr>
        <w:pStyle w:val="liste1"/>
        <w:rPr>
          <w:vanish/>
        </w:rPr>
      </w:pPr>
      <w:r>
        <w:t xml:space="preserve">Allowing for the description of operation and control </w:t>
      </w:r>
    </w:p>
    <w:p w:rsidR="00F77F15" w:rsidRDefault="00F77F15">
      <w:pPr>
        <w:pStyle w:val="liste1"/>
      </w:pPr>
      <w:r>
        <w:t xml:space="preserve">based on </w:t>
      </w:r>
      <w:r>
        <w:rPr>
          <w:b/>
          <w:bCs/>
        </w:rPr>
        <w:t>Equipment</w:t>
      </w:r>
      <w:r>
        <w:t xml:space="preserve"> rather than Instruments</w:t>
      </w:r>
    </w:p>
    <w:p w:rsidR="00F77F15" w:rsidRDefault="00F77F15">
      <w:pPr>
        <w:pStyle w:val="liste1"/>
      </w:pPr>
      <w:r>
        <w:t>Independent of the level of automation (fully automated, manual…)</w:t>
      </w:r>
    </w:p>
    <w:p w:rsidR="00F77F15" w:rsidRDefault="00F77F15">
      <w:pPr>
        <w:pStyle w:val="liste1"/>
      </w:pPr>
      <w:r>
        <w:rPr>
          <w:b/>
        </w:rPr>
        <w:t>Understandable</w:t>
      </w:r>
      <w:r>
        <w:t xml:space="preserve"> by Product Engineers and Operators, also valid for Control System Engineers</w:t>
      </w:r>
    </w:p>
    <w:p w:rsidR="00F77F15" w:rsidRDefault="00F77F15">
      <w:pPr>
        <w:pStyle w:val="liste1"/>
      </w:pPr>
      <w:r>
        <w:t xml:space="preserve">Using </w:t>
      </w:r>
      <w:r>
        <w:rPr>
          <w:b/>
        </w:rPr>
        <w:t>modular</w:t>
      </w:r>
      <w:r>
        <w:t>, hierarchical objects, allowing for easy re-configuration of the Process Cell</w:t>
      </w:r>
    </w:p>
    <w:p w:rsidR="00F77F15" w:rsidRDefault="00F77F15">
      <w:pPr>
        <w:pStyle w:val="liste1"/>
      </w:pPr>
      <w:r>
        <w:t xml:space="preserve">Using a </w:t>
      </w:r>
      <w:r>
        <w:rPr>
          <w:b/>
        </w:rPr>
        <w:t>strong formalism</w:t>
      </w:r>
      <w:r>
        <w:t xml:space="preserve">: (no ambiguity, no redundancy), to </w:t>
      </w:r>
      <w:r>
        <w:rPr>
          <w:b/>
        </w:rPr>
        <w:t>communicate</w:t>
      </w:r>
      <w:r>
        <w:t xml:space="preserve"> (understand each other), to </w:t>
      </w:r>
      <w:r>
        <w:rPr>
          <w:b/>
        </w:rPr>
        <w:t xml:space="preserve">qualify </w:t>
      </w:r>
      <w:r>
        <w:t>(validation)</w:t>
      </w:r>
    </w:p>
    <w:p w:rsidR="00F77F15" w:rsidRDefault="00F77F15">
      <w:pPr>
        <w:pStyle w:val="liste1"/>
      </w:pPr>
      <w:r>
        <w:t>Covering the whole life-cycle of the control system: Specification, Design, Implementation, Maintenance</w:t>
      </w:r>
    </w:p>
    <w:p w:rsidR="00F77F15" w:rsidRDefault="00F77F15">
      <w:pPr>
        <w:pStyle w:val="Titre1"/>
      </w:pPr>
      <w:r>
        <w:lastRenderedPageBreak/>
        <w:t>PRODUCT PROCESSING / EQUIPMENT CONTROL: NO LONGER MIXED-UP</w:t>
      </w:r>
    </w:p>
    <w:p w:rsidR="00F77F15" w:rsidRDefault="00F77F15">
      <w:r>
        <w:t xml:space="preserve">The basic assumption of ASTRID is that Product processing can no longer be thought of at just the engineering level. A main issue in traditional control system development is that the control system engineer has to know and understand the various expected process behaviors in order to design its system. </w:t>
      </w:r>
    </w:p>
    <w:p w:rsidR="00F77F15" w:rsidRDefault="00F77F15">
      <w:pPr>
        <w:pStyle w:val="liste1"/>
      </w:pPr>
      <w:r>
        <w:t xml:space="preserve">A high-level of education and a wide range of skills are required for this job, and </w:t>
      </w:r>
    </w:p>
    <w:p w:rsidR="00F77F15" w:rsidRDefault="00F77F15">
      <w:pPr>
        <w:pStyle w:val="liste1"/>
      </w:pPr>
      <w:r>
        <w:t>The operating procedures are never fully completed when developing the control system</w:t>
      </w:r>
    </w:p>
    <w:p w:rsidR="00F77F15" w:rsidRDefault="00F77F15">
      <w:r>
        <w:t>The first step is to assume that a process cell may be ran at the equipment level ("Semi-automatic"), allowing the operator to communicate with the process cell in terms of process functionalities. This is in fact a common way of driving process cells (more often than full manual or full automatic operation!)</w:t>
      </w:r>
    </w:p>
    <w:p w:rsidR="00F77F15" w:rsidRDefault="00F77F15">
      <w:r>
        <w:t>The second step is to consider a process cell as a set of equipment entities with attached capabilities and links, not as a product making system. Thus, ASTRID matches the S88 Product / Process segregation as other workable batch methodologies would do!</w:t>
      </w:r>
    </w:p>
    <w:p w:rsidR="00F77F15" w:rsidRDefault="00F77F15">
      <w:pPr>
        <w:pStyle w:val="Titre1"/>
      </w:pPr>
      <w:r>
        <w:t>SAFE OPERATION vs FLEXIBILITY: REDUCING THE RISK</w:t>
      </w:r>
    </w:p>
    <w:p w:rsidR="00F77F15" w:rsidRDefault="00F77F15">
      <w:r>
        <w:t xml:space="preserve">When services are requested from the process cell, the corresponding equipment entities are to be allocated to the initiating Recipe Procedural Element (RPE). The challenge is to allocate the only needed equipment entity while preventing an isolating </w:t>
      </w:r>
      <w:r>
        <w:rPr>
          <w:i/>
          <w:iCs/>
        </w:rPr>
        <w:t>Device</w:t>
      </w:r>
      <w:r>
        <w:t xml:space="preserve"> shared with an adjacent </w:t>
      </w:r>
      <w:r>
        <w:rPr>
          <w:i/>
          <w:iCs/>
        </w:rPr>
        <w:t>Resource</w:t>
      </w:r>
      <w:r>
        <w:t xml:space="preserve"> (free or allocated by another RPE) to be opened. A classic S88 approach would induce a modularization compromise between flexibility (allowing the finest granularity for allocation) and the complexity of recipes. </w:t>
      </w:r>
    </w:p>
    <w:p w:rsidR="00F77F15" w:rsidRDefault="00F77F15">
      <w:r>
        <w:object w:dxaOrig="10060" w:dyaOrig="2347">
          <v:shape id="_x0000_i1026" type="#_x0000_t75" style="width:502.8pt;height:117pt" o:ole="" fillcolor="window">
            <v:imagedata r:id="rId9" o:title=""/>
          </v:shape>
          <o:OLEObject Type="Embed" ProgID="MSDraw.Drawing.8.2" ShapeID="_x0000_i1026" DrawAspect="Content" ObjectID="_1529295281" r:id="rId10"/>
        </w:object>
      </w:r>
    </w:p>
    <w:p w:rsidR="00F77F15" w:rsidRDefault="00F77F15">
      <w:pPr>
        <w:pStyle w:val="Lgende"/>
        <w:jc w:val="center"/>
      </w:pPr>
      <w:r>
        <w:t xml:space="preserve">Figure </w:t>
      </w:r>
      <w:r>
        <w:fldChar w:fldCharType="begin"/>
      </w:r>
      <w:r>
        <w:instrText xml:space="preserve"> SEQ Figure \* ARABIC </w:instrText>
      </w:r>
      <w:r>
        <w:fldChar w:fldCharType="separate"/>
      </w:r>
      <w:r>
        <w:rPr>
          <w:noProof/>
        </w:rPr>
        <w:t>2</w:t>
      </w:r>
      <w:r>
        <w:fldChar w:fldCharType="end"/>
      </w:r>
      <w:r>
        <w:t xml:space="preserve"> - Flexibility versus Complexity</w:t>
      </w:r>
    </w:p>
    <w:p w:rsidR="00F77F15" w:rsidRDefault="00F77F15">
      <w:r>
        <w:t>To a certain extent, the best flexibility is obtained when Equipment Procedural Elements (EPEs), as seen from the recipe, are only elementary modules offering simple, basic functionalities. With such a highly flexible process cell, the process engineer will have to deal with complex recipes. Also, the operator will have difficulties to manage a lot of small procedural entities running concurrently. And finally, the process control engineer will have to deal with complex synchronization between procedural elements and potentially between systems. The other extreme situation is a rigid equipment control, which only allows for some parameterization and does not allow any concurrent batch to run in the process cell.</w:t>
      </w:r>
    </w:p>
    <w:p w:rsidR="00F77F15" w:rsidRDefault="00F77F15">
      <w:pPr>
        <w:widowControl w:val="0"/>
      </w:pPr>
      <w:r>
        <w:t xml:space="preserve">Here, the most challenging issue is to guarantee a safe operation of actuators that are contiguous to two differently allocated equipment entities that can be controlled either by the </w:t>
      </w:r>
      <w:r>
        <w:rPr>
          <w:u w:val="single"/>
        </w:rPr>
        <w:t>control system</w:t>
      </w:r>
      <w:r>
        <w:t xml:space="preserve">, the </w:t>
      </w:r>
      <w:r>
        <w:rPr>
          <w:u w:val="single"/>
        </w:rPr>
        <w:t>safety system</w:t>
      </w:r>
      <w:r>
        <w:t xml:space="preserve"> or the </w:t>
      </w:r>
      <w:r>
        <w:rPr>
          <w:u w:val="single"/>
        </w:rPr>
        <w:t>operator</w:t>
      </w:r>
      <w:r>
        <w:t>.</w:t>
      </w:r>
    </w:p>
    <w:p w:rsidR="00F77F15" w:rsidRDefault="00F77F15">
      <w:pPr>
        <w:pStyle w:val="Lgende"/>
        <w:jc w:val="center"/>
      </w:pPr>
      <w:r>
        <w:object w:dxaOrig="10130" w:dyaOrig="1954">
          <v:shape id="_x0000_i1027" type="#_x0000_t75" style="width:506.4pt;height:78.6pt" o:ole="" fillcolor="window">
            <v:imagedata r:id="rId11" o:title=""/>
          </v:shape>
          <o:OLEObject Type="Embed" ProgID="MSDraw.Drawing.8.2" ShapeID="_x0000_i1027" DrawAspect="Content" ObjectID="_1529295282" r:id="rId12"/>
        </w:object>
      </w:r>
      <w:r>
        <w:t xml:space="preserve">Figure </w:t>
      </w:r>
      <w:r>
        <w:fldChar w:fldCharType="begin"/>
      </w:r>
      <w:r>
        <w:instrText xml:space="preserve"> SEQ Figure \* ARABIC </w:instrText>
      </w:r>
      <w:r>
        <w:fldChar w:fldCharType="separate"/>
      </w:r>
      <w:r>
        <w:rPr>
          <w:noProof/>
        </w:rPr>
        <w:t>3</w:t>
      </w:r>
      <w:r>
        <w:fldChar w:fldCharType="end"/>
      </w:r>
      <w:r>
        <w:t xml:space="preserve"> - Prevent wrong operation</w:t>
      </w:r>
    </w:p>
    <w:p w:rsidR="00F77F15" w:rsidRDefault="00F77F15">
      <w:pPr>
        <w:rPr>
          <w:sz w:val="16"/>
        </w:rPr>
      </w:pPr>
      <w:r>
        <w:t xml:space="preserve">Any automated system requires interlock mechanisms to prevent wrong operations. Some questions that need to be answered when planning the interlock strategies include: How to extensively cope with all the situations? What are the criteria? A matrix approach will be less and less suitable when the complexity of the process cell configuration increases. Because of the (quite) universal uniqueness of the </w:t>
      </w:r>
      <w:r>
        <w:rPr>
          <w:i/>
          <w:iCs/>
        </w:rPr>
        <w:t>Path</w:t>
      </w:r>
      <w:r>
        <w:t xml:space="preserve"> allocation to a specific stream, the "Flow management" approach of ASTRID addresses this issue without any additional brainstorming.</w:t>
      </w:r>
    </w:p>
    <w:p w:rsidR="00F77F15" w:rsidRDefault="00F77F15">
      <w:pPr>
        <w:pStyle w:val="Titre1"/>
      </w:pPr>
      <w:r>
        <w:t xml:space="preserve">ENSURE SPECIFICATION PRODUCTIVITY AND CONSISTENCY </w:t>
      </w:r>
    </w:p>
    <w:p w:rsidR="00F77F15" w:rsidRDefault="00F77F15">
      <w:r>
        <w:t xml:space="preserve">Another concern for the ASTRID promoters was to create an efficient method, which avoids paying more for quality. The cost of development is shared between specification, design and qualification: </w:t>
      </w:r>
    </w:p>
    <w:p w:rsidR="00F77F15" w:rsidRDefault="00F77F15">
      <w:pPr>
        <w:pStyle w:val="liste1"/>
      </w:pPr>
      <w:r>
        <w:t>The more the specifications are detailed and well written, the lower is the qualification cost</w:t>
      </w:r>
    </w:p>
    <w:p w:rsidR="00F77F15" w:rsidRDefault="00F77F15">
      <w:pPr>
        <w:pStyle w:val="liste1"/>
      </w:pPr>
      <w:r>
        <w:t>The more the specifications are compact and consistent, the lower is the design cost</w:t>
      </w:r>
    </w:p>
    <w:p w:rsidR="00F77F15" w:rsidRDefault="00F77F15">
      <w:r>
        <w:t xml:space="preserve">The object-oriented approach was the obvious way, for the ASTRID pioneers as well as for the SP88 committee members. </w:t>
      </w:r>
    </w:p>
    <w:p w:rsidR="00F77F15" w:rsidRDefault="00F77F15">
      <w:pPr>
        <w:pStyle w:val="Titre1"/>
      </w:pPr>
      <w:r>
        <w:t>THE SOLUTION: FLOW ANALYSIS BACKGROUND</w:t>
      </w:r>
    </w:p>
    <w:p w:rsidR="00F77F15" w:rsidRDefault="00F77F15">
      <w:pPr>
        <w:pStyle w:val="En-tte"/>
        <w:tabs>
          <w:tab w:val="clear" w:pos="4320"/>
          <w:tab w:val="clear" w:pos="8640"/>
        </w:tabs>
      </w:pPr>
      <w:r>
        <w:t>Thinking ASTRID means thinking Process at a fundamental level first. The Process Cell is seen as a system defined by:</w:t>
      </w:r>
    </w:p>
    <w:p w:rsidR="00F77F15" w:rsidRDefault="00F77F15">
      <w:pPr>
        <w:pStyle w:val="liste1"/>
      </w:pPr>
      <w:r>
        <w:t>Inputs and Outputs: Material and Energy "Sources" and "Sinks"</w:t>
      </w:r>
    </w:p>
    <w:p w:rsidR="00F77F15" w:rsidRDefault="00F77F15">
      <w:pPr>
        <w:pStyle w:val="liste1"/>
      </w:pPr>
      <w:r>
        <w:t>"Containers": Transformation Nodes (pumps, vessels, reactors, exchangers) and Transfer Elements (material flow lines and energy streams)</w:t>
      </w:r>
    </w:p>
    <w:p w:rsidR="00F77F15" w:rsidRDefault="00F77F15">
      <w:pPr>
        <w:pStyle w:val="liste1"/>
      </w:pPr>
      <w:r>
        <w:t xml:space="preserve">Contents: </w:t>
      </w:r>
      <w:r>
        <w:rPr>
          <w:i/>
          <w:iCs/>
        </w:rPr>
        <w:t>Path</w:t>
      </w:r>
      <w:r>
        <w:t xml:space="preserve"> (static) or Material Flows (dynamic)</w:t>
      </w:r>
    </w:p>
    <w:p w:rsidR="00F77F15" w:rsidRDefault="00F77F15">
      <w:pPr>
        <w:pStyle w:val="En-tte"/>
        <w:tabs>
          <w:tab w:val="clear" w:pos="4320"/>
          <w:tab w:val="clear" w:pos="8640"/>
        </w:tabs>
        <w:jc w:val="center"/>
      </w:pPr>
      <w:r>
        <w:object w:dxaOrig="10133" w:dyaOrig="4650">
          <v:shape id="_x0000_i1028" type="#_x0000_t75" style="width:413.4pt;height:152.4pt" o:ole="" fillcolor="window">
            <v:imagedata r:id="rId13" o:title=""/>
          </v:shape>
          <o:OLEObject Type="Embed" ProgID="MSDraw.Drawing.8.2" ShapeID="_x0000_i1028" DrawAspect="Content" ObjectID="_1529295283" r:id="rId14"/>
        </w:object>
      </w:r>
    </w:p>
    <w:p w:rsidR="00F77F15" w:rsidRDefault="00F77F15">
      <w:pPr>
        <w:pStyle w:val="Lgende"/>
        <w:jc w:val="center"/>
      </w:pPr>
      <w:r>
        <w:t xml:space="preserve">Figure </w:t>
      </w:r>
      <w:r>
        <w:fldChar w:fldCharType="begin"/>
      </w:r>
      <w:r>
        <w:instrText xml:space="preserve"> SEQ Figure \* ARABIC </w:instrText>
      </w:r>
      <w:r>
        <w:fldChar w:fldCharType="separate"/>
      </w:r>
      <w:r>
        <w:rPr>
          <w:noProof/>
        </w:rPr>
        <w:t>4</w:t>
      </w:r>
      <w:r>
        <w:fldChar w:fldCharType="end"/>
      </w:r>
      <w:r>
        <w:t xml:space="preserve"> - ASTRID Flow analysis</w:t>
      </w:r>
      <w:r>
        <w:rPr>
          <w:noProof/>
        </w:rPr>
        <w:t xml:space="preserve"> of a Process cell</w:t>
      </w:r>
    </w:p>
    <w:p w:rsidR="00F77F15" w:rsidRDefault="00F77F15">
      <w:pPr>
        <w:pStyle w:val="En-tte"/>
        <w:tabs>
          <w:tab w:val="clear" w:pos="4320"/>
          <w:tab w:val="clear" w:pos="8640"/>
        </w:tabs>
      </w:pPr>
      <w:r>
        <w:br w:type="page"/>
      </w:r>
      <w:r>
        <w:lastRenderedPageBreak/>
        <w:t xml:space="preserve">This suggests the following process analysis approach, as a framework for the ASTRID method: </w:t>
      </w:r>
    </w:p>
    <w:p w:rsidR="00F77F15" w:rsidRDefault="00F77F15">
      <w:pPr>
        <w:pStyle w:val="liste1"/>
      </w:pPr>
      <w:r>
        <w:t>Identify containers, name "</w:t>
      </w:r>
      <w:r>
        <w:rPr>
          <w:i/>
          <w:iCs/>
        </w:rPr>
        <w:t>Resources</w:t>
      </w:r>
      <w:r>
        <w:t>"</w:t>
      </w:r>
    </w:p>
    <w:p w:rsidR="00F77F15" w:rsidRDefault="00F77F15">
      <w:pPr>
        <w:pStyle w:val="liste1"/>
      </w:pPr>
      <w:r>
        <w:t xml:space="preserve">Identify all realistic </w:t>
      </w:r>
      <w:r>
        <w:rPr>
          <w:i/>
          <w:iCs/>
        </w:rPr>
        <w:t>Paths</w:t>
      </w:r>
      <w:r>
        <w:t xml:space="preserve">: A </w:t>
      </w:r>
      <w:r>
        <w:rPr>
          <w:i/>
          <w:iCs/>
        </w:rPr>
        <w:t>Path</w:t>
      </w:r>
      <w:r>
        <w:t xml:space="preserve"> is a consistent and non-exclusive combination of containers (possibly overlapping and crossing). A </w:t>
      </w:r>
      <w:r>
        <w:rPr>
          <w:i/>
          <w:iCs/>
        </w:rPr>
        <w:t>Path</w:t>
      </w:r>
      <w:r>
        <w:t xml:space="preserve"> and its inherited behavior is named a “</w:t>
      </w:r>
      <w:r>
        <w:rPr>
          <w:i/>
          <w:iCs/>
        </w:rPr>
        <w:t>Function</w:t>
      </w:r>
      <w:r>
        <w:t>”.</w:t>
      </w:r>
    </w:p>
    <w:p w:rsidR="00F77F15" w:rsidRDefault="00F77F15">
      <w:pPr>
        <w:pStyle w:val="liste1"/>
      </w:pPr>
      <w:r>
        <w:t xml:space="preserve">Define Recipes (outside the scope of ASTRID): Recipes will act on </w:t>
      </w:r>
      <w:r>
        <w:rPr>
          <w:i/>
          <w:iCs/>
        </w:rPr>
        <w:t>Functions</w:t>
      </w:r>
      <w:r>
        <w:t xml:space="preserve"> (by assembling and sequencing </w:t>
      </w:r>
      <w:r>
        <w:rPr>
          <w:i/>
          <w:iCs/>
        </w:rPr>
        <w:t>Paths</w:t>
      </w:r>
      <w:r>
        <w:t xml:space="preserve">) to run the process cell according to the product making rules. </w:t>
      </w:r>
    </w:p>
    <w:p w:rsidR="00F77F15" w:rsidRDefault="00F77F15">
      <w:pPr>
        <w:pStyle w:val="Titre1"/>
      </w:pPr>
      <w:r>
        <w:t>OK FOR the PHILOSOPHY, BUT HOW to use in practice?</w:t>
      </w:r>
    </w:p>
    <w:p w:rsidR="00F77F15" w:rsidRDefault="00F77F15">
      <w:r>
        <w:rPr>
          <w:b/>
          <w:bCs/>
        </w:rPr>
        <w:t>Basic Engineering</w:t>
      </w:r>
      <w:r>
        <w:t xml:space="preserve"> - At the beginning stage of a system life-cycle, the method works as follow:</w:t>
      </w:r>
    </w:p>
    <w:p w:rsidR="00F77F15" w:rsidRDefault="00F77F15">
      <w:pPr>
        <w:pStyle w:val="liste1"/>
        <w:numPr>
          <w:ilvl w:val="0"/>
          <w:numId w:val="38"/>
        </w:numPr>
      </w:pPr>
      <w:r>
        <w:rPr>
          <w:u w:val="single"/>
        </w:rPr>
        <w:t xml:space="preserve">Identify, highlight on P&amp;ID and name containers or </w:t>
      </w:r>
      <w:r>
        <w:rPr>
          <w:bCs/>
          <w:i/>
          <w:iCs/>
          <w:u w:val="single"/>
        </w:rPr>
        <w:t>Resources</w:t>
      </w:r>
      <w:r>
        <w:rPr>
          <w:b/>
        </w:rPr>
        <w:t xml:space="preserve">. </w:t>
      </w:r>
      <w:r>
        <w:t xml:space="preserve">This is an analytical work exclusively based on installed equipment entities and their connections. The ASTRID implementation guide provides concrete and formalized guidelines to define </w:t>
      </w:r>
      <w:r>
        <w:rPr>
          <w:i/>
          <w:iCs/>
        </w:rPr>
        <w:t>Resources</w:t>
      </w:r>
      <w:r>
        <w:t xml:space="preserve">. A </w:t>
      </w:r>
      <w:r>
        <w:rPr>
          <w:i/>
          <w:iCs/>
        </w:rPr>
        <w:t>Resource</w:t>
      </w:r>
      <w:r>
        <w:t xml:space="preserve"> is a set of process elements that forms a closed process section. Four types are defined: Utility (steam shared by multiple units), Energy (double-envelop, heat exchangers), Sky (vacuum, or inerting system) and Flow (product processing and transfer). Each has specific features regarding shared use and interlocks. The list of the Resources provides a model of the process cell without the links between equipment entities. Basic control may also be described at this level.</w:t>
      </w:r>
    </w:p>
    <w:p w:rsidR="00F77F15" w:rsidRDefault="00F77F15">
      <w:pPr>
        <w:numPr>
          <w:ilvl w:val="0"/>
          <w:numId w:val="38"/>
        </w:numPr>
        <w:spacing w:after="0"/>
      </w:pPr>
      <w:r>
        <w:rPr>
          <w:u w:val="single"/>
        </w:rPr>
        <w:t xml:space="preserve">Identify and name </w:t>
      </w:r>
      <w:r>
        <w:rPr>
          <w:i/>
          <w:iCs/>
          <w:u w:val="single"/>
        </w:rPr>
        <w:t>Paths</w:t>
      </w:r>
      <w:r>
        <w:rPr>
          <w:u w:val="single"/>
        </w:rPr>
        <w:t xml:space="preserve"> or </w:t>
      </w:r>
      <w:r>
        <w:rPr>
          <w:bCs/>
          <w:i/>
          <w:iCs/>
          <w:u w:val="single"/>
        </w:rPr>
        <w:t>Functions</w:t>
      </w:r>
      <w:r>
        <w:rPr>
          <w:b/>
        </w:rPr>
        <w:t xml:space="preserve">. </w:t>
      </w:r>
      <w:r>
        <w:t xml:space="preserve">All realistic </w:t>
      </w:r>
      <w:r>
        <w:rPr>
          <w:i/>
          <w:iCs/>
        </w:rPr>
        <w:t>Paths</w:t>
      </w:r>
      <w:r>
        <w:t xml:space="preserve"> are built by combining </w:t>
      </w:r>
      <w:r>
        <w:rPr>
          <w:i/>
          <w:iCs/>
        </w:rPr>
        <w:t>Resources</w:t>
      </w:r>
      <w:r>
        <w:t xml:space="preserve"> to get an extensive set of process cell basic </w:t>
      </w:r>
      <w:r>
        <w:rPr>
          <w:i/>
          <w:iCs/>
        </w:rPr>
        <w:t>Functions</w:t>
      </w:r>
      <w:r>
        <w:t xml:space="preserve">. A </w:t>
      </w:r>
      <w:r>
        <w:rPr>
          <w:i/>
          <w:iCs/>
        </w:rPr>
        <w:t>Function</w:t>
      </w:r>
      <w:r>
        <w:t xml:space="preserve"> allocates the configured </w:t>
      </w:r>
      <w:r>
        <w:rPr>
          <w:i/>
          <w:iCs/>
        </w:rPr>
        <w:t>Resources</w:t>
      </w:r>
      <w:r>
        <w:t xml:space="preserve"> only when it executes, leaving </w:t>
      </w:r>
      <w:r>
        <w:rPr>
          <w:i/>
          <w:iCs/>
        </w:rPr>
        <w:t>Resources</w:t>
      </w:r>
      <w:r>
        <w:t xml:space="preserve"> (equipment elements) available for other </w:t>
      </w:r>
      <w:r>
        <w:rPr>
          <w:i/>
          <w:iCs/>
        </w:rPr>
        <w:t>Functions</w:t>
      </w:r>
      <w:r>
        <w:t xml:space="preserve">. The degree of freedom here is high: one can define restricted </w:t>
      </w:r>
      <w:r>
        <w:rPr>
          <w:i/>
          <w:iCs/>
        </w:rPr>
        <w:t>Functions</w:t>
      </w:r>
      <w:r>
        <w:t xml:space="preserve"> from small </w:t>
      </w:r>
      <w:r>
        <w:rPr>
          <w:i/>
          <w:iCs/>
        </w:rPr>
        <w:t>Paths</w:t>
      </w:r>
      <w:r>
        <w:t xml:space="preserve"> (i.e. S88 phases) or very large process operations involving complex </w:t>
      </w:r>
      <w:r>
        <w:rPr>
          <w:i/>
          <w:iCs/>
        </w:rPr>
        <w:t>Paths</w:t>
      </w:r>
      <w:r>
        <w:t xml:space="preserve"> (i.e. S88 procedure). </w:t>
      </w:r>
    </w:p>
    <w:p w:rsidR="00F77F15" w:rsidRDefault="00F77F15">
      <w:pPr>
        <w:spacing w:after="0"/>
        <w:ind w:left="360"/>
      </w:pPr>
      <w:r>
        <w:t xml:space="preserve">A first validation step may be performed to check if a particular recipe may be executed on this process cell: all requested equipment procedural elements (i.e. </w:t>
      </w:r>
      <w:r>
        <w:rPr>
          <w:i/>
          <w:iCs/>
        </w:rPr>
        <w:t>Function</w:t>
      </w:r>
      <w:r>
        <w:t xml:space="preserve">, or </w:t>
      </w:r>
      <w:r>
        <w:rPr>
          <w:i/>
          <w:iCs/>
        </w:rPr>
        <w:t>Paths</w:t>
      </w:r>
      <w:r>
        <w:t>) must be defined in order to map the recipe requirements.</w:t>
      </w:r>
    </w:p>
    <w:p w:rsidR="00F77F15" w:rsidRDefault="00F77F15">
      <w:pPr>
        <w:pStyle w:val="Retraitcorpsdetexte2"/>
      </w:pPr>
      <w:r>
        <w:t>Note that there is no reference to instrumentation at this stage (we still do not worry if a valve is hand operated or remotely controlled).</w:t>
      </w:r>
    </w:p>
    <w:p w:rsidR="00F77F15" w:rsidRDefault="00F77F15">
      <w:pPr>
        <w:numPr>
          <w:ilvl w:val="0"/>
          <w:numId w:val="5"/>
        </w:numPr>
        <w:spacing w:after="0"/>
      </w:pPr>
      <w:r>
        <w:rPr>
          <w:u w:val="single"/>
        </w:rPr>
        <w:t xml:space="preserve">Attach </w:t>
      </w:r>
      <w:r>
        <w:rPr>
          <w:bCs/>
          <w:i/>
          <w:iCs/>
          <w:u w:val="single"/>
        </w:rPr>
        <w:t>Devices</w:t>
      </w:r>
      <w:r>
        <w:rPr>
          <w:u w:val="single"/>
        </w:rPr>
        <w:t xml:space="preserve"> to </w:t>
      </w:r>
      <w:r>
        <w:rPr>
          <w:i/>
          <w:iCs/>
          <w:u w:val="single"/>
        </w:rPr>
        <w:t>Resources</w:t>
      </w:r>
      <w:r>
        <w:t xml:space="preserve">. At this stage, we have to begin to think about control elements: each instrument is attached to its supporting </w:t>
      </w:r>
      <w:r>
        <w:rPr>
          <w:i/>
          <w:iCs/>
        </w:rPr>
        <w:t>Resource</w:t>
      </w:r>
      <w:r>
        <w:t xml:space="preserve">. Some rules are defined to enforce consistency between applications (e.g., a closing valve, which is contiguous to two </w:t>
      </w:r>
      <w:r>
        <w:rPr>
          <w:i/>
          <w:iCs/>
        </w:rPr>
        <w:t>Resources</w:t>
      </w:r>
      <w:r>
        <w:t xml:space="preserve"> is attached to the "upstream" </w:t>
      </w:r>
      <w:r>
        <w:rPr>
          <w:i/>
          <w:iCs/>
        </w:rPr>
        <w:t>Resource</w:t>
      </w:r>
      <w:r>
        <w:t xml:space="preserve">). The </w:t>
      </w:r>
      <w:r>
        <w:rPr>
          <w:i/>
          <w:iCs/>
        </w:rPr>
        <w:t>Resource</w:t>
      </w:r>
      <w:r>
        <w:t xml:space="preserve"> becomes an abstraction layer between procedural control and </w:t>
      </w:r>
      <w:r>
        <w:rPr>
          <w:i/>
          <w:iCs/>
        </w:rPr>
        <w:t>Devices</w:t>
      </w:r>
      <w:r>
        <w:t>. Basic control may be described at this level: auto/manual modes, discrepancies, safety interlocks, control loops.</w:t>
      </w:r>
    </w:p>
    <w:p w:rsidR="00F77F15" w:rsidRDefault="00F77F15">
      <w:pPr>
        <w:numPr>
          <w:ilvl w:val="0"/>
          <w:numId w:val="5"/>
        </w:numPr>
        <w:spacing w:after="0"/>
      </w:pPr>
      <w:r>
        <w:rPr>
          <w:u w:val="single"/>
        </w:rPr>
        <w:t xml:space="preserve">Describe </w:t>
      </w:r>
      <w:r>
        <w:rPr>
          <w:bCs/>
          <w:i/>
          <w:iCs/>
          <w:u w:val="single"/>
        </w:rPr>
        <w:t>Functions</w:t>
      </w:r>
      <w:r>
        <w:rPr>
          <w:u w:val="single"/>
        </w:rPr>
        <w:t xml:space="preserve"> and </w:t>
      </w:r>
      <w:r>
        <w:rPr>
          <w:bCs/>
          <w:i/>
          <w:iCs/>
          <w:u w:val="single"/>
        </w:rPr>
        <w:t>Resources</w:t>
      </w:r>
      <w:r>
        <w:rPr>
          <w:u w:val="single"/>
        </w:rPr>
        <w:t xml:space="preserve"> behavior</w:t>
      </w:r>
      <w:r>
        <w:t>. The last (and longest) step is to document each object and to define its specific behaviors.</w:t>
      </w:r>
    </w:p>
    <w:p w:rsidR="00F77F15" w:rsidRDefault="00F77F15">
      <w:r>
        <w:rPr>
          <w:b/>
          <w:bCs/>
        </w:rPr>
        <w:t>Maintenance and Evolution</w:t>
      </w:r>
      <w:r>
        <w:t xml:space="preserve"> - A process cell is seldom frozen in its actual configuration. Equipment entities and connections lines may be added, deleted, modified.</w:t>
      </w:r>
    </w:p>
    <w:p w:rsidR="00F77F15" w:rsidRDefault="00F77F15">
      <w:pPr>
        <w:pStyle w:val="liste1"/>
      </w:pPr>
      <w:r>
        <w:t xml:space="preserve">The impact on operation specification is confined within the corresponding equipment entity. This is the benefit of modularization </w:t>
      </w:r>
    </w:p>
    <w:p w:rsidR="00F77F15" w:rsidRDefault="00F77F15">
      <w:pPr>
        <w:pStyle w:val="liste1"/>
      </w:pPr>
      <w:r>
        <w:t xml:space="preserve">New equipment means new </w:t>
      </w:r>
      <w:r>
        <w:rPr>
          <w:i/>
          <w:iCs/>
        </w:rPr>
        <w:t>Resources</w:t>
      </w:r>
      <w:r>
        <w:t xml:space="preserve">, and new </w:t>
      </w:r>
      <w:r>
        <w:rPr>
          <w:i/>
          <w:iCs/>
        </w:rPr>
        <w:t>Paths</w:t>
      </w:r>
      <w:r>
        <w:t xml:space="preserve"> will be available. Their specification will directly provide new process functionalities that will be usable by new or modified recipes.</w:t>
      </w:r>
    </w:p>
    <w:p w:rsidR="00F77F15" w:rsidRDefault="00F77F15">
      <w:pPr>
        <w:pStyle w:val="Titre1"/>
      </w:pPr>
      <w:r>
        <w:lastRenderedPageBreak/>
        <w:t>An example</w:t>
      </w:r>
    </w:p>
    <w:p w:rsidR="00F77F15" w:rsidRDefault="00F77F15">
      <w:pPr>
        <w:pStyle w:val="liste1"/>
        <w:numPr>
          <w:ilvl w:val="0"/>
          <w:numId w:val="0"/>
        </w:numPr>
      </w:pPr>
      <w:r>
        <w:t xml:space="preserve">Figure 5 presents a simple example with four tanks and a transfer line. We can identify six </w:t>
      </w:r>
      <w:r>
        <w:rPr>
          <w:i/>
          <w:iCs/>
        </w:rPr>
        <w:t>Resources</w:t>
      </w:r>
      <w:r>
        <w:t>:</w:t>
      </w:r>
    </w:p>
    <w:p w:rsidR="00F77F15" w:rsidRDefault="00F77F15">
      <w:pPr>
        <w:pStyle w:val="liste1"/>
        <w:numPr>
          <w:ilvl w:val="0"/>
          <w:numId w:val="39"/>
        </w:numPr>
      </w:pPr>
      <w:r>
        <w:t>R1: Feeding line for tanks A and B</w:t>
      </w:r>
    </w:p>
    <w:p w:rsidR="00F77F15" w:rsidRDefault="00F77F15">
      <w:pPr>
        <w:pStyle w:val="liste1"/>
        <w:numPr>
          <w:ilvl w:val="0"/>
          <w:numId w:val="39"/>
        </w:numPr>
      </w:pPr>
      <w:r>
        <w:t>R2, R3, R5, R6: Tanks A, B, C, D</w:t>
      </w:r>
    </w:p>
    <w:p w:rsidR="00F77F15" w:rsidRDefault="00F77F15">
      <w:pPr>
        <w:pStyle w:val="liste1"/>
        <w:numPr>
          <w:ilvl w:val="0"/>
          <w:numId w:val="39"/>
        </w:numPr>
      </w:pPr>
      <w:r>
        <w:t>R4: Transfer line between Tanks A, B and C, D</w:t>
      </w:r>
    </w:p>
    <w:p w:rsidR="00F77F15" w:rsidRDefault="00F77F15">
      <w:pPr>
        <w:pStyle w:val="liste1"/>
        <w:numPr>
          <w:ilvl w:val="0"/>
          <w:numId w:val="0"/>
        </w:numPr>
      </w:pPr>
      <w:r>
        <w:t xml:space="preserve">By assembling these </w:t>
      </w:r>
      <w:r>
        <w:rPr>
          <w:i/>
          <w:iCs/>
        </w:rPr>
        <w:t>Resources</w:t>
      </w:r>
      <w:r>
        <w:t xml:space="preserve"> into </w:t>
      </w:r>
      <w:r>
        <w:rPr>
          <w:i/>
          <w:iCs/>
        </w:rPr>
        <w:t>Paths</w:t>
      </w:r>
      <w:r>
        <w:t xml:space="preserve">, we can get several </w:t>
      </w:r>
      <w:r>
        <w:rPr>
          <w:i/>
          <w:iCs/>
        </w:rPr>
        <w:t>Functions</w:t>
      </w:r>
      <w:r>
        <w:t xml:space="preserve">. Among these </w:t>
      </w:r>
      <w:r>
        <w:rPr>
          <w:i/>
          <w:iCs/>
        </w:rPr>
        <w:t>Functions</w:t>
      </w:r>
      <w:r>
        <w:t>:</w:t>
      </w:r>
    </w:p>
    <w:p w:rsidR="00F77F15" w:rsidRDefault="00F77F15">
      <w:pPr>
        <w:pStyle w:val="liste1"/>
        <w:numPr>
          <w:ilvl w:val="0"/>
          <w:numId w:val="40"/>
        </w:numPr>
      </w:pPr>
      <w:r>
        <w:t>F1: Fill A</w:t>
      </w:r>
    </w:p>
    <w:p w:rsidR="00F77F15" w:rsidRDefault="00F77F15">
      <w:pPr>
        <w:pStyle w:val="liste1"/>
        <w:numPr>
          <w:ilvl w:val="0"/>
          <w:numId w:val="40"/>
        </w:numPr>
      </w:pPr>
      <w:r>
        <w:t>F2: Fill B</w:t>
      </w:r>
    </w:p>
    <w:p w:rsidR="00F77F15" w:rsidRDefault="00F77F15">
      <w:pPr>
        <w:pStyle w:val="liste1"/>
        <w:numPr>
          <w:ilvl w:val="0"/>
          <w:numId w:val="40"/>
        </w:numPr>
      </w:pPr>
      <w:r>
        <w:t>F3: Transfer from B to C</w:t>
      </w:r>
    </w:p>
    <w:p w:rsidR="00F77F15" w:rsidRDefault="00F77F15">
      <w:r>
        <w:object w:dxaOrig="9950" w:dyaOrig="5240">
          <v:shape id="_x0000_i1029" type="#_x0000_t75" style="width:497.4pt;height:188.4pt" o:ole="" fillcolor="window">
            <v:imagedata r:id="rId15" o:title=""/>
          </v:shape>
          <o:OLEObject Type="Embed" ProgID="MSDraw.Drawing.8.2" ShapeID="_x0000_i1029" DrawAspect="Content" ObjectID="_1529295284" r:id="rId16"/>
        </w:object>
      </w:r>
    </w:p>
    <w:p w:rsidR="00F77F15" w:rsidRDefault="00F77F15">
      <w:pPr>
        <w:pStyle w:val="Lgende"/>
        <w:jc w:val="center"/>
      </w:pPr>
      <w:r>
        <w:t xml:space="preserve">Figure </w:t>
      </w:r>
      <w:r>
        <w:fldChar w:fldCharType="begin"/>
      </w:r>
      <w:r>
        <w:instrText xml:space="preserve"> SEQ Figure \* ARABIC </w:instrText>
      </w:r>
      <w:r>
        <w:fldChar w:fldCharType="separate"/>
      </w:r>
      <w:r>
        <w:rPr>
          <w:noProof/>
        </w:rPr>
        <w:t>5</w:t>
      </w:r>
      <w:r>
        <w:fldChar w:fldCharType="end"/>
      </w:r>
      <w:r>
        <w:t xml:space="preserve"> - The ASTRID "Padlock"</w:t>
      </w:r>
    </w:p>
    <w:p w:rsidR="00F77F15" w:rsidRDefault="00F77F15">
      <w:pPr>
        <w:pStyle w:val="liste1"/>
        <w:numPr>
          <w:ilvl w:val="0"/>
          <w:numId w:val="0"/>
        </w:numPr>
      </w:pPr>
      <w:r>
        <w:t xml:space="preserve">This flow analysis is the key to control the safe operation of actuators. The rule is that actuators situated at the boundary of a </w:t>
      </w:r>
      <w:r>
        <w:rPr>
          <w:i/>
          <w:iCs/>
        </w:rPr>
        <w:t>Path</w:t>
      </w:r>
      <w:r>
        <w:t xml:space="preserve"> have to be “locked” to prevent any wrong operation.</w:t>
      </w:r>
    </w:p>
    <w:p w:rsidR="00F77F15" w:rsidRDefault="00F77F15">
      <w:pPr>
        <w:pStyle w:val="liste1"/>
        <w:numPr>
          <w:ilvl w:val="0"/>
          <w:numId w:val="0"/>
        </w:numPr>
      </w:pPr>
      <w:r>
        <w:t xml:space="preserve">For the figure above, the F1 </w:t>
      </w:r>
      <w:r>
        <w:rPr>
          <w:i/>
          <w:iCs/>
        </w:rPr>
        <w:t>Function</w:t>
      </w:r>
      <w:r>
        <w:t xml:space="preserve"> fills the tank A while the F3 </w:t>
      </w:r>
      <w:r>
        <w:rPr>
          <w:i/>
          <w:iCs/>
        </w:rPr>
        <w:t>Function</w:t>
      </w:r>
      <w:r>
        <w:t xml:space="preserve"> executes a transfer from tank A to tank C at the same time. The valves situated along each of the corresponding </w:t>
      </w:r>
      <w:r>
        <w:rPr>
          <w:i/>
          <w:iCs/>
        </w:rPr>
        <w:t>Paths</w:t>
      </w:r>
      <w:r>
        <w:t xml:space="preserve"> can be operated by the </w:t>
      </w:r>
      <w:r>
        <w:rPr>
          <w:i/>
          <w:iCs/>
        </w:rPr>
        <w:t>Functions</w:t>
      </w:r>
      <w:r>
        <w:t xml:space="preserve"> (V1, V4, V5).</w:t>
      </w:r>
    </w:p>
    <w:p w:rsidR="00F77F15" w:rsidRDefault="00F77F15">
      <w:pPr>
        <w:pStyle w:val="liste1"/>
        <w:numPr>
          <w:ilvl w:val="0"/>
          <w:numId w:val="0"/>
        </w:numPr>
      </w:pPr>
      <w:r>
        <w:t xml:space="preserve">The valves at the boundary of these </w:t>
      </w:r>
      <w:r>
        <w:rPr>
          <w:i/>
          <w:iCs/>
        </w:rPr>
        <w:t>Paths</w:t>
      </w:r>
      <w:r>
        <w:t xml:space="preserve"> are locked because the upstream and downstream </w:t>
      </w:r>
      <w:r>
        <w:rPr>
          <w:i/>
          <w:iCs/>
        </w:rPr>
        <w:t>Resources</w:t>
      </w:r>
      <w:r>
        <w:t xml:space="preserve"> of these actuators are allocated to different </w:t>
      </w:r>
      <w:r>
        <w:rPr>
          <w:i/>
          <w:iCs/>
        </w:rPr>
        <w:t>Paths</w:t>
      </w:r>
      <w:r>
        <w:t xml:space="preserve"> or </w:t>
      </w:r>
      <w:r>
        <w:rPr>
          <w:i/>
          <w:iCs/>
        </w:rPr>
        <w:t>Functions</w:t>
      </w:r>
      <w:r>
        <w:t>. (V2, V3, V6)</w:t>
      </w:r>
    </w:p>
    <w:p w:rsidR="00F77F15" w:rsidRDefault="00F77F15">
      <w:pPr>
        <w:rPr>
          <w:vanish/>
        </w:rPr>
      </w:pPr>
    </w:p>
    <w:p w:rsidR="00F77F15" w:rsidRDefault="00F77F15">
      <w:pPr>
        <w:pStyle w:val="Titre1"/>
      </w:pPr>
      <w:r>
        <w:t>ASTRID vs S88: HOW they fit together</w:t>
      </w:r>
    </w:p>
    <w:p w:rsidR="00F77F15" w:rsidRDefault="00F77F15">
      <w:pPr>
        <w:pStyle w:val="Corpsdetexte"/>
      </w:pPr>
      <w:r>
        <w:t>ASTRID has been developed without any reference to the SP88 work. However, SP88 members as well as ASTRID promoters were confronted to the same problems and constraints. It is not surprising that the ASTRID and S88 models match more than it appears, and discrepancies are not critical:</w:t>
      </w:r>
    </w:p>
    <w:p w:rsidR="00F77F15" w:rsidRDefault="00F77F15">
      <w:pPr>
        <w:pStyle w:val="liste1"/>
      </w:pPr>
      <w:r>
        <w:t xml:space="preserve">ASTRID </w:t>
      </w:r>
      <w:r>
        <w:rPr>
          <w:i/>
          <w:iCs/>
        </w:rPr>
        <w:t>Device</w:t>
      </w:r>
      <w:r>
        <w:t xml:space="preserve"> and </w:t>
      </w:r>
      <w:r>
        <w:rPr>
          <w:i/>
          <w:iCs/>
        </w:rPr>
        <w:t>Resource</w:t>
      </w:r>
      <w:r>
        <w:t xml:space="preserve"> match S88 Control Module definition. This is obvious for </w:t>
      </w:r>
      <w:r>
        <w:rPr>
          <w:i/>
          <w:iCs/>
        </w:rPr>
        <w:t>Devices</w:t>
      </w:r>
      <w:r>
        <w:t xml:space="preserve">, while a </w:t>
      </w:r>
      <w:r>
        <w:rPr>
          <w:i/>
          <w:iCs/>
        </w:rPr>
        <w:t>Resource</w:t>
      </w:r>
      <w:r>
        <w:t xml:space="preserve"> summarizes </w:t>
      </w:r>
      <w:r>
        <w:rPr>
          <w:i/>
          <w:iCs/>
        </w:rPr>
        <w:t>Devices</w:t>
      </w:r>
      <w:r>
        <w:t xml:space="preserve"> (Control Module that contains other Control Modules). Like the S88 Control Modules, </w:t>
      </w:r>
      <w:r>
        <w:rPr>
          <w:i/>
          <w:iCs/>
        </w:rPr>
        <w:t>Devices</w:t>
      </w:r>
      <w:r>
        <w:t xml:space="preserve"> and </w:t>
      </w:r>
      <w:r>
        <w:rPr>
          <w:i/>
          <w:iCs/>
        </w:rPr>
        <w:t>Resources</w:t>
      </w:r>
      <w:r>
        <w:t xml:space="preserve"> do not perform procedural control.</w:t>
      </w:r>
    </w:p>
    <w:p w:rsidR="00F77F15" w:rsidRDefault="00F77F15">
      <w:pPr>
        <w:pStyle w:val="liste1"/>
      </w:pPr>
      <w:r>
        <w:t xml:space="preserve">The S88 Equipment Module does not exist as a physical, tangible entity in ASTRID. However, a </w:t>
      </w:r>
      <w:r>
        <w:rPr>
          <w:i/>
          <w:iCs/>
        </w:rPr>
        <w:t>Function</w:t>
      </w:r>
      <w:r>
        <w:t xml:space="preserve"> allocates </w:t>
      </w:r>
      <w:r>
        <w:rPr>
          <w:i/>
          <w:iCs/>
        </w:rPr>
        <w:t>Resources</w:t>
      </w:r>
      <w:r>
        <w:t xml:space="preserve"> at run time. The group of </w:t>
      </w:r>
      <w:r>
        <w:rPr>
          <w:i/>
          <w:iCs/>
        </w:rPr>
        <w:t>Resources</w:t>
      </w:r>
      <w:r>
        <w:t xml:space="preserve"> involved during the execution and the defined behavior of this combination corresponds to the Equipment Module definition (made up of Control Modules, can execute procedural control).</w:t>
      </w:r>
    </w:p>
    <w:p w:rsidR="00F77F15" w:rsidRDefault="00F77F15">
      <w:pPr>
        <w:pStyle w:val="liste1"/>
      </w:pPr>
      <w:r>
        <w:lastRenderedPageBreak/>
        <w:t>The difference is that the Control Modules are not constantly attached to a particular Equipment Module: ASTRID proposes some kind of “dynamic Equipment Module” created when the corresponding process function (equipment phase) is needed. (This is not forbidden by S88!)</w:t>
      </w:r>
    </w:p>
    <w:p w:rsidR="00F77F15" w:rsidRDefault="00F77F15">
      <w:pPr>
        <w:pStyle w:val="liste1"/>
        <w:widowControl w:val="0"/>
      </w:pPr>
      <w:r>
        <w:t xml:space="preserve">The S88 concept of UNIT, which allows for flexibility, is not inherently supported by ASTRID. However, this “incompatibility” is easily solved (e.g. a simple attribute attached to the </w:t>
      </w:r>
      <w:r>
        <w:rPr>
          <w:i/>
          <w:iCs/>
        </w:rPr>
        <w:t>Resources</w:t>
      </w:r>
      <w:r>
        <w:t xml:space="preserve">, a compatible </w:t>
      </w:r>
      <w:r>
        <w:rPr>
          <w:i/>
          <w:iCs/>
        </w:rPr>
        <w:t>Function</w:t>
      </w:r>
      <w:r>
        <w:t xml:space="preserve"> definition). </w:t>
      </w:r>
    </w:p>
    <w:p w:rsidR="00F77F15" w:rsidRDefault="00F77F15">
      <w:pPr>
        <w:pStyle w:val="liste1"/>
      </w:pPr>
      <w:r>
        <w:t xml:space="preserve">The standard ASTRID method for transfer is not S88 compliant: a single </w:t>
      </w:r>
      <w:r>
        <w:rPr>
          <w:i/>
          <w:iCs/>
        </w:rPr>
        <w:t>Function</w:t>
      </w:r>
      <w:r>
        <w:t xml:space="preserve"> (S88 phase) may allocate several units. The ASTRID Flow management violates the S88 constraint (One phase for one unit or one equipment module). This could be compulsory when managing complex I/O manifolds. To solve this issue, the ASTRID </w:t>
      </w:r>
      <w:r>
        <w:rPr>
          <w:i/>
          <w:iCs/>
        </w:rPr>
        <w:t>Paths</w:t>
      </w:r>
      <w:r>
        <w:t xml:space="preserve"> may be broken into several </w:t>
      </w:r>
      <w:r>
        <w:rPr>
          <w:i/>
          <w:iCs/>
        </w:rPr>
        <w:t xml:space="preserve">Functions </w:t>
      </w:r>
      <w:r>
        <w:t>referring to their owning</w:t>
      </w:r>
      <w:r>
        <w:rPr>
          <w:i/>
          <w:iCs/>
        </w:rPr>
        <w:t xml:space="preserve"> Path</w:t>
      </w:r>
      <w:r>
        <w:t>.</w:t>
      </w:r>
    </w:p>
    <w:p w:rsidR="00F77F15" w:rsidRDefault="00F77F15">
      <w:pPr>
        <w:pStyle w:val="liste1"/>
      </w:pPr>
      <w:r>
        <w:t xml:space="preserve">The procedural hierarchy is not formalized by ASTRID. In fact, many S88 compliant systems only deal with “equipment phases” which can be more or less complex and may correspond to any procedural level. ASTRID allows the definition of </w:t>
      </w:r>
      <w:r>
        <w:rPr>
          <w:i/>
          <w:iCs/>
        </w:rPr>
        <w:t>Functions</w:t>
      </w:r>
      <w:r>
        <w:t xml:space="preserve"> of any complexity that can overlap: a </w:t>
      </w:r>
      <w:r>
        <w:rPr>
          <w:i/>
          <w:iCs/>
        </w:rPr>
        <w:t>Function</w:t>
      </w:r>
      <w:r>
        <w:t xml:space="preserve"> playing the role of an equipment unit procedure may be seconded by </w:t>
      </w:r>
      <w:r>
        <w:rPr>
          <w:i/>
          <w:iCs/>
        </w:rPr>
        <w:t>Functions</w:t>
      </w:r>
      <w:r>
        <w:t xml:space="preserve"> providing the equipment phases involved in the previous one, allowing alternative recipe strategies and exception handling. </w:t>
      </w:r>
    </w:p>
    <w:p w:rsidR="00F77F15" w:rsidRDefault="00F77F15">
      <w:pPr>
        <w:jc w:val="center"/>
      </w:pPr>
      <w:r>
        <w:object w:dxaOrig="10253" w:dyaOrig="5703">
          <v:shape id="_x0000_i1030" type="#_x0000_t75" style="width:454.8pt;height:162pt" o:ole="" fillcolor="window">
            <v:imagedata r:id="rId17" o:title=""/>
          </v:shape>
          <o:OLEObject Type="Embed" ProgID="MSDraw.Drawing.8.2" ShapeID="_x0000_i1030" DrawAspect="Content" ObjectID="_1529295285" r:id="rId18"/>
        </w:object>
      </w:r>
    </w:p>
    <w:p w:rsidR="00F77F15" w:rsidRDefault="00F77F15">
      <w:pPr>
        <w:pStyle w:val="Lgende"/>
        <w:jc w:val="center"/>
      </w:pPr>
      <w:r>
        <w:t xml:space="preserve">Figure </w:t>
      </w:r>
      <w:r>
        <w:fldChar w:fldCharType="begin"/>
      </w:r>
      <w:r>
        <w:instrText xml:space="preserve"> SEQ Figure \* ARABIC </w:instrText>
      </w:r>
      <w:r>
        <w:fldChar w:fldCharType="separate"/>
      </w:r>
      <w:r>
        <w:rPr>
          <w:noProof/>
        </w:rPr>
        <w:t>6</w:t>
      </w:r>
      <w:r>
        <w:fldChar w:fldCharType="end"/>
      </w:r>
      <w:r>
        <w:t xml:space="preserve"> - S88 / ASTRID models</w:t>
      </w:r>
    </w:p>
    <w:p w:rsidR="00F77F15" w:rsidRDefault="00F77F15">
      <w:pPr>
        <w:pStyle w:val="Titre1"/>
      </w:pPr>
      <w:r>
        <w:t>IMPLeMENTATION SUCCESSES AND ISSUES</w:t>
      </w:r>
    </w:p>
    <w:p w:rsidR="00F77F15" w:rsidRDefault="00F77F15">
      <w:pPr>
        <w:pStyle w:val="Titre3"/>
      </w:pPr>
      <w:r>
        <w:t>Spreading the World…</w:t>
      </w:r>
    </w:p>
    <w:p w:rsidR="00F77F15" w:rsidRDefault="00F77F15">
      <w:r>
        <w:t xml:space="preserve">After more than 10 years of development and practice, the method is quite mature: about 20 plants, 40 process cells, 100 PLCs or DCS's (from about 15 vendors), 40000 I/O's. However, these numbers appear to be low. The method has propagated very slowly within Rhone Poulenc plants themselves: people do not spontaneously change their habits. No promotion had ever been done to spread the method. However, a department, which jumped into the method, never abandoned it later. Conversely, ASTRID users all become fans! Today, more and more companies have chosen this methodology: ICMD, ADVENTIS PHARMA and RHODIA, PASTEUR MERIEUX (from RP), TOTAL, PFITZER, SANOFI, DANONE (LU &amp; KRONENBOURG)... The proven reliability of the process cells operated according ASTRID guidelines, the total agreement of operators, the engineering process improvement and the simplicity of the method were to a certain extent its only promoters. The recent efforts of the FBF to </w:t>
      </w:r>
      <w:r>
        <w:lastRenderedPageBreak/>
        <w:t>raise the level of conscience about Batch control seem to help ASTRID, as well as S88 to spread among the French process industry. In addition, ASTRID was recently chosen by RHODIA for its new Holmes Chapel Plant in the UK, and thus became its international spread.</w:t>
      </w:r>
    </w:p>
    <w:p w:rsidR="00F77F15" w:rsidRDefault="00F77F15">
      <w:pPr>
        <w:pStyle w:val="Titre3"/>
      </w:pPr>
      <w:r>
        <w:t>Control systems implementation issue</w:t>
      </w:r>
    </w:p>
    <w:p w:rsidR="00F77F15" w:rsidRDefault="00F77F15">
      <w:r>
        <w:t>ASTRID has been implemented in the leading control systems, involving an extensive set of hardware and software structures and languages. Being a requirement and specification tool, the method does not enforce a specific control system implementation design. However, an object approach would be the most appropriate. Modern systems are still not fully “object enabled” and a strict compliance to the ASTRID model and requirements is not always straightforward. While switching to IEC61131-3, most of the DCS's have transitioned from their “outdated” but powerful and flexible textual languages to modern graphical editors with strict algorithmic restrictions and sometimes poor Object-Oriented Programming support.</w:t>
      </w:r>
    </w:p>
    <w:p w:rsidR="00F77F15" w:rsidRDefault="00F77F15">
      <w:r>
        <w:t>Therefore, the consistency and the completeness of the specification always result in a compliant implementation, at a variable application "elegance" and validation cost.</w:t>
      </w:r>
    </w:p>
    <w:p w:rsidR="00F77F15" w:rsidRDefault="00F77F15">
      <w:pPr>
        <w:pStyle w:val="Titre1"/>
      </w:pPr>
      <w:r>
        <w:t>Conclusion</w:t>
      </w:r>
    </w:p>
    <w:p w:rsidR="00F77F15" w:rsidRDefault="00F77F15">
      <w:r>
        <w:t>ASTRID addresses a small subset of S88: Equipment Control. It complements the standard in an intentionally fuzzy area and solidifies some of the S88 concepts. Although developed without any concern about S88, it fits rather well in its models: most of the actual ASTRID implementations are S88-aware and compliant. Some of the features that change ASTRID users into fans are:</w:t>
      </w:r>
    </w:p>
    <w:p w:rsidR="00F77F15" w:rsidRDefault="00F77F15">
      <w:pPr>
        <w:pStyle w:val="liste1"/>
      </w:pPr>
      <w:r>
        <w:t>Actuator interlocks focused on safe operation without compromising flexibility. Contiguous equipment entities are protected at the lowest control level.</w:t>
      </w:r>
    </w:p>
    <w:p w:rsidR="00F77F15" w:rsidRDefault="00F77F15">
      <w:pPr>
        <w:pStyle w:val="liste1"/>
      </w:pPr>
      <w:r>
        <w:t xml:space="preserve">Dynamic and optimized allocation of </w:t>
      </w:r>
      <w:r>
        <w:rPr>
          <w:i/>
          <w:iCs/>
        </w:rPr>
        <w:t>Resources</w:t>
      </w:r>
      <w:r>
        <w:t xml:space="preserve"> (control elements) by </w:t>
      </w:r>
      <w:r>
        <w:rPr>
          <w:i/>
          <w:iCs/>
        </w:rPr>
        <w:t>Functions</w:t>
      </w:r>
      <w:r>
        <w:t xml:space="preserve"> (e.g. phases) materialized by a </w:t>
      </w:r>
      <w:r>
        <w:rPr>
          <w:i/>
          <w:iCs/>
        </w:rPr>
        <w:t>Path</w:t>
      </w:r>
      <w:r>
        <w:t xml:space="preserve"> (visible on the HMI mimic diagrams)</w:t>
      </w:r>
    </w:p>
    <w:p w:rsidR="00F77F15" w:rsidRDefault="00F77F15">
      <w:pPr>
        <w:pStyle w:val="liste1"/>
      </w:pPr>
      <w:r>
        <w:t xml:space="preserve">Easy material transfer management: a simple </w:t>
      </w:r>
      <w:r>
        <w:rPr>
          <w:i/>
          <w:iCs/>
        </w:rPr>
        <w:t>Function</w:t>
      </w:r>
      <w:r>
        <w:t xml:space="preserve"> may deal with all the transfer operation</w:t>
      </w:r>
    </w:p>
    <w:p w:rsidR="00F77F15" w:rsidRDefault="00F77F15">
      <w:pPr>
        <w:pStyle w:val="liste1"/>
      </w:pPr>
      <w:r>
        <w:t>Equipment base specification (not instruments): early Product/Process matching control, clear and consistent specification</w:t>
      </w:r>
    </w:p>
    <w:p w:rsidR="00F77F15" w:rsidRDefault="00F77F15">
      <w:pPr>
        <w:pStyle w:val="liste1"/>
      </w:pPr>
      <w:r>
        <w:t>Inherent, object based information propagation and summarization (inherent batch info tracking)</w:t>
      </w:r>
    </w:p>
    <w:p w:rsidR="00F77F15" w:rsidRDefault="00F77F15">
      <w:pPr>
        <w:pStyle w:val="liste1"/>
      </w:pPr>
      <w:r>
        <w:t>SO SIMPLE!</w:t>
      </w:r>
    </w:p>
    <w:p w:rsidR="00F77F15" w:rsidRDefault="00F77F15">
      <w:pPr>
        <w:pStyle w:val="En-tte"/>
        <w:tabs>
          <w:tab w:val="clear" w:pos="4320"/>
          <w:tab w:val="clear" w:pos="8640"/>
        </w:tabs>
      </w:pPr>
      <w:r>
        <w:t>The future of ASTRID depends on three factors:</w:t>
      </w:r>
    </w:p>
    <w:p w:rsidR="00F77F15" w:rsidRDefault="00F77F15">
      <w:pPr>
        <w:pStyle w:val="liste1"/>
      </w:pPr>
      <w:r>
        <w:rPr>
          <w:b/>
        </w:rPr>
        <w:t>Bringing together ASTRID and S88</w:t>
      </w:r>
      <w:r>
        <w:t xml:space="preserve">: the ASTRID terminology could match the S88 terminology more closely, and the ASTRID objects may be formalized within the S88 model. Some still contend ASTRID and S88 are competing methodologies. This is not true. The promotion of ASTRID can only rely on S88 support, not on competition with such recognized standard. </w:t>
      </w:r>
    </w:p>
    <w:p w:rsidR="00F77F15" w:rsidRDefault="00F77F15">
      <w:pPr>
        <w:pStyle w:val="liste1"/>
        <w:widowControl w:val="0"/>
      </w:pPr>
      <w:r>
        <w:rPr>
          <w:b/>
        </w:rPr>
        <w:t>Extending the domain of application</w:t>
      </w:r>
      <w:r>
        <w:t xml:space="preserve">: ASTRID promoters were always careful and modest, advising the method only for the intended multipurpose chemical processes. The flow analysis was applied successfully on other processes (such as conditioning units) and could be generalized. </w:t>
      </w:r>
    </w:p>
    <w:p w:rsidR="00F77F15" w:rsidRDefault="00F77F15">
      <w:pPr>
        <w:pStyle w:val="liste1"/>
      </w:pPr>
      <w:r>
        <w:rPr>
          <w:b/>
        </w:rPr>
        <w:t>Development of basic function blocks</w:t>
      </w:r>
      <w:r>
        <w:t xml:space="preserve"> in process control systems in order to make the support of ASTRID mechanisms easier during the design phase. Although any system may support ASTRID, the choice is often dictated by the availability of an "ASTRID engine" developed for a previous implementation. Some control system vendors already offer standard ASTRID libraries.</w:t>
      </w:r>
    </w:p>
    <w:sectPr w:rsidR="00F77F15">
      <w:footerReference w:type="default" r:id="rId19"/>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1C7" w:rsidRDefault="00AA11C7">
      <w:pPr>
        <w:spacing w:before="0" w:after="0"/>
      </w:pPr>
      <w:r>
        <w:separator/>
      </w:r>
    </w:p>
  </w:endnote>
  <w:endnote w:type="continuationSeparator" w:id="0">
    <w:p w:rsidR="00AA11C7" w:rsidRDefault="00AA11C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rnhardMod BT">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F15" w:rsidRDefault="00F77F15">
    <w:pPr>
      <w:pStyle w:val="Pieddepage"/>
      <w:spacing w:before="0" w:after="0"/>
      <w:jc w:val="center"/>
      <w:rPr>
        <w:rStyle w:val="Numrodepage"/>
        <w:sz w:val="20"/>
      </w:rPr>
    </w:pPr>
    <w:r>
      <w:rPr>
        <w:rStyle w:val="Numrodepage"/>
        <w:sz w:val="20"/>
      </w:rPr>
      <w:fldChar w:fldCharType="begin"/>
    </w:r>
    <w:r>
      <w:rPr>
        <w:rStyle w:val="Numrodepage"/>
        <w:sz w:val="20"/>
      </w:rPr>
      <w:instrText xml:space="preserve"> PAGE </w:instrText>
    </w:r>
    <w:r>
      <w:rPr>
        <w:rStyle w:val="Numrodepage"/>
        <w:sz w:val="20"/>
      </w:rPr>
      <w:fldChar w:fldCharType="separate"/>
    </w:r>
    <w:r w:rsidR="005912C4">
      <w:rPr>
        <w:rStyle w:val="Numrodepage"/>
        <w:noProof/>
        <w:sz w:val="20"/>
      </w:rPr>
      <w:t>1</w:t>
    </w:r>
    <w:r>
      <w:rPr>
        <w:rStyle w:val="Numrodepage"/>
        <w:sz w:val="20"/>
      </w:rPr>
      <w:fldChar w:fldCharType="end"/>
    </w:r>
  </w:p>
  <w:p w:rsidR="00F77F15" w:rsidRDefault="00F77F15">
    <w:pPr>
      <w:pStyle w:val="Pieddepage"/>
      <w:spacing w:before="0" w:after="0"/>
      <w:jc w:val="center"/>
    </w:pPr>
    <w:r>
      <w:rPr>
        <w:sz w:val="20"/>
      </w:rPr>
      <w:t xml:space="preserve">Copyright </w:t>
    </w:r>
    <w:r>
      <w:rPr>
        <w:sz w:val="20"/>
      </w:rPr>
      <w:sym w:font="Symbol" w:char="F0E3"/>
    </w:r>
    <w:r>
      <w:rPr>
        <w:sz w:val="20"/>
      </w:rPr>
      <w:t xml:space="preserve"> 2000 World Batch Forum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1C7" w:rsidRDefault="00AA11C7">
      <w:pPr>
        <w:spacing w:before="0" w:after="0"/>
      </w:pPr>
      <w:r>
        <w:separator/>
      </w:r>
    </w:p>
  </w:footnote>
  <w:footnote w:type="continuationSeparator" w:id="0">
    <w:p w:rsidR="00AA11C7" w:rsidRDefault="00AA11C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4FE15F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A204548"/>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6302DB12"/>
    <w:lvl w:ilvl="0">
      <w:numFmt w:val="decimal"/>
      <w:lvlText w:val="*"/>
      <w:lvlJc w:val="left"/>
    </w:lvl>
  </w:abstractNum>
  <w:abstractNum w:abstractNumId="3" w15:restartNumberingAfterBreak="0">
    <w:nsid w:val="017059DC"/>
    <w:multiLevelType w:val="hybridMultilevel"/>
    <w:tmpl w:val="1002731C"/>
    <w:lvl w:ilvl="0" w:tplc="A0CE8F5E">
      <w:start w:val="3"/>
      <w:numFmt w:val="decimal"/>
      <w:lvlText w:val="%1."/>
      <w:lvlJc w:val="left"/>
      <w:pPr>
        <w:tabs>
          <w:tab w:val="num" w:pos="360"/>
        </w:tabs>
        <w:ind w:left="360" w:hanging="360"/>
      </w:pPr>
      <w:rPr>
        <w:rFonts w:hint="default"/>
      </w:rPr>
    </w:lvl>
    <w:lvl w:ilvl="1" w:tplc="FFFFFFFF">
      <w:start w:val="4"/>
      <w:numFmt w:val="bullet"/>
      <w:lvlText w:val=""/>
      <w:lvlJc w:val="left"/>
      <w:pPr>
        <w:tabs>
          <w:tab w:val="num" w:pos="1080"/>
        </w:tabs>
        <w:ind w:left="1080" w:hanging="360"/>
      </w:pPr>
      <w:rPr>
        <w:rFonts w:ascii="Wingdings" w:eastAsia="Times New Roman" w:hAnsi="Wingdings"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47B1462"/>
    <w:multiLevelType w:val="hybridMultilevel"/>
    <w:tmpl w:val="2B720EDE"/>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0B601B0B"/>
    <w:multiLevelType w:val="hybridMultilevel"/>
    <w:tmpl w:val="3A8A4A2A"/>
    <w:lvl w:ilvl="0" w:tplc="0C964BAA">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8E6916"/>
    <w:multiLevelType w:val="hybridMultilevel"/>
    <w:tmpl w:val="5A6AFC4A"/>
    <w:lvl w:ilvl="0">
      <w:start w:val="4"/>
      <w:numFmt w:val="bullet"/>
      <w:lvlText w:val=""/>
      <w:lvlJc w:val="left"/>
      <w:pPr>
        <w:tabs>
          <w:tab w:val="num" w:pos="360"/>
        </w:tabs>
        <w:ind w:left="360" w:hanging="360"/>
      </w:pPr>
      <w:rPr>
        <w:rFonts w:ascii="Wingdings" w:eastAsia="Times New Roman" w:hAnsi="Wingdings" w:cs="Times New Roman"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D6F7B70"/>
    <w:multiLevelType w:val="hybridMultilevel"/>
    <w:tmpl w:val="837CCA54"/>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361B38"/>
    <w:multiLevelType w:val="hybridMultilevel"/>
    <w:tmpl w:val="F094E80C"/>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4F02E1"/>
    <w:multiLevelType w:val="hybridMultilevel"/>
    <w:tmpl w:val="779030B2"/>
    <w:lvl w:ilvl="0" w:tplc="9AEAB216">
      <w:start w:val="4"/>
      <w:numFmt w:val="bullet"/>
      <w:lvlText w:val=""/>
      <w:lvlJc w:val="left"/>
      <w:pPr>
        <w:tabs>
          <w:tab w:val="num" w:pos="720"/>
        </w:tabs>
        <w:ind w:left="720" w:hanging="360"/>
      </w:pPr>
      <w:rPr>
        <w:rFonts w:ascii="Wingdings" w:eastAsia="Times New Roman" w:hAnsi="Wingdings" w:cs="Times New Roman"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13E02719"/>
    <w:multiLevelType w:val="hybridMultilevel"/>
    <w:tmpl w:val="327C493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15:restartNumberingAfterBreak="0">
    <w:nsid w:val="1627131A"/>
    <w:multiLevelType w:val="hybridMultilevel"/>
    <w:tmpl w:val="0876F622"/>
    <w:lvl w:ilvl="0">
      <w:start w:val="4"/>
      <w:numFmt w:val="bullet"/>
      <w:lvlText w:val=""/>
      <w:lvlJc w:val="left"/>
      <w:pPr>
        <w:tabs>
          <w:tab w:val="num" w:pos="360"/>
        </w:tabs>
        <w:ind w:left="360" w:hanging="360"/>
      </w:pPr>
      <w:rPr>
        <w:rFonts w:ascii="Wingdings" w:eastAsia="Times New Roman" w:hAnsi="Wingdings" w:cs="Times New Roman"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7B47C98"/>
    <w:multiLevelType w:val="hybridMultilevel"/>
    <w:tmpl w:val="5B821CCC"/>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1D0E4BB5"/>
    <w:multiLevelType w:val="hybridMultilevel"/>
    <w:tmpl w:val="67384C60"/>
    <w:lvl w:ilvl="0">
      <w:start w:val="4"/>
      <w:numFmt w:val="bullet"/>
      <w:lvlText w:val=""/>
      <w:lvlJc w:val="left"/>
      <w:pPr>
        <w:tabs>
          <w:tab w:val="num" w:pos="1080"/>
        </w:tabs>
        <w:ind w:left="1080" w:hanging="360"/>
      </w:pPr>
      <w:rPr>
        <w:rFonts w:ascii="Wingdings" w:eastAsia="Times New Roman" w:hAnsi="Wingdings"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E124368"/>
    <w:multiLevelType w:val="hybridMultilevel"/>
    <w:tmpl w:val="48289900"/>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DF045D"/>
    <w:multiLevelType w:val="hybridMultilevel"/>
    <w:tmpl w:val="133069F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BE6428B"/>
    <w:multiLevelType w:val="hybridMultilevel"/>
    <w:tmpl w:val="59545CF0"/>
    <w:lvl w:ilvl="0">
      <w:start w:val="4"/>
      <w:numFmt w:val="bullet"/>
      <w:lvlText w:val=""/>
      <w:lvlJc w:val="left"/>
      <w:pPr>
        <w:tabs>
          <w:tab w:val="num" w:pos="360"/>
        </w:tabs>
        <w:ind w:left="360" w:hanging="360"/>
      </w:pPr>
      <w:rPr>
        <w:rFonts w:ascii="Wingdings" w:eastAsia="Times New Roman" w:hAnsi="Wingdings"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rPr>
        <w:rFont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F852B49"/>
    <w:multiLevelType w:val="hybridMultilevel"/>
    <w:tmpl w:val="59545C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F87A1E"/>
    <w:multiLevelType w:val="hybridMultilevel"/>
    <w:tmpl w:val="69F44C46"/>
    <w:lvl w:ilvl="0" w:tplc="040C000F">
      <w:start w:val="1"/>
      <w:numFmt w:val="decimal"/>
      <w:lvlText w:val="%1."/>
      <w:lvlJc w:val="left"/>
      <w:pPr>
        <w:tabs>
          <w:tab w:val="num" w:pos="360"/>
        </w:tabs>
        <w:ind w:left="360" w:hanging="360"/>
      </w:pPr>
    </w:lvl>
    <w:lvl w:ilvl="1" w:tplc="040C000F">
      <w:start w:val="1"/>
      <w:numFmt w:val="decimal"/>
      <w:lvlText w:val="%2."/>
      <w:lvlJc w:val="left"/>
      <w:pPr>
        <w:tabs>
          <w:tab w:val="num" w:pos="1080"/>
        </w:tabs>
        <w:ind w:left="1080" w:hanging="360"/>
      </w:p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6D123FB"/>
    <w:multiLevelType w:val="hybridMultilevel"/>
    <w:tmpl w:val="F70057E4"/>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0A343F"/>
    <w:multiLevelType w:val="hybridMultilevel"/>
    <w:tmpl w:val="453A50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383220A5"/>
    <w:multiLevelType w:val="hybridMultilevel"/>
    <w:tmpl w:val="47747E18"/>
    <w:lvl w:ilvl="0" w:tplc="C7BCF7F0">
      <w:start w:val="4"/>
      <w:numFmt w:val="bullet"/>
      <w:pStyle w:val="liste1"/>
      <w:lvlText w:val=""/>
      <w:lvlJc w:val="left"/>
      <w:pPr>
        <w:tabs>
          <w:tab w:val="num" w:pos="360"/>
        </w:tabs>
        <w:ind w:left="360" w:hanging="360"/>
      </w:pPr>
      <w:rPr>
        <w:rFonts w:ascii="Wingdings" w:eastAsia="Times New Roman" w:hAnsi="Wingdings" w:cs="Times New Roman"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D1B6B25"/>
    <w:multiLevelType w:val="hybridMultilevel"/>
    <w:tmpl w:val="1610E836"/>
    <w:lvl w:ilvl="0" w:tplc="0C964BAA">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C12B7A"/>
    <w:multiLevelType w:val="hybridMultilevel"/>
    <w:tmpl w:val="7FE845FE"/>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4A05D4"/>
    <w:multiLevelType w:val="hybridMultilevel"/>
    <w:tmpl w:val="DA7EA796"/>
    <w:lvl w:ilvl="0">
      <w:start w:val="1"/>
      <w:numFmt w:val="bullet"/>
      <w:pStyle w:val="liste2"/>
      <w:lvlText w:val=""/>
      <w:lvlJc w:val="left"/>
      <w:pPr>
        <w:tabs>
          <w:tab w:val="num" w:pos="0"/>
        </w:tabs>
        <w:ind w:left="0" w:hanging="360"/>
      </w:pPr>
      <w:rPr>
        <w:rFonts w:ascii="Symbol" w:hAnsi="Symbol" w:hint="default"/>
      </w:rPr>
    </w:lvl>
    <w:lvl w:ilvl="1">
      <w:start w:val="1"/>
      <w:numFmt w:val="bullet"/>
      <w:lvlText w:val="o"/>
      <w:lvlJc w:val="left"/>
      <w:pPr>
        <w:tabs>
          <w:tab w:val="num" w:pos="360"/>
        </w:tabs>
        <w:ind w:left="360" w:hanging="360"/>
      </w:pPr>
      <w:rPr>
        <w:rFonts w:ascii="Courier New" w:hAnsi="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25" w15:restartNumberingAfterBreak="0">
    <w:nsid w:val="44011210"/>
    <w:multiLevelType w:val="hybridMultilevel"/>
    <w:tmpl w:val="79BA46C6"/>
    <w:lvl w:ilvl="0">
      <w:start w:val="4"/>
      <w:numFmt w:val="bullet"/>
      <w:lvlText w:val=""/>
      <w:lvlJc w:val="left"/>
      <w:pPr>
        <w:tabs>
          <w:tab w:val="num" w:pos="360"/>
        </w:tabs>
        <w:ind w:left="360" w:hanging="360"/>
      </w:pPr>
      <w:rPr>
        <w:rFonts w:ascii="Wingdings" w:eastAsia="Times New Roman" w:hAnsi="Wingdings" w:cs="Times New Roman" w:hint="default"/>
      </w:rPr>
    </w:lvl>
    <w:lvl w:ilvl="1" w:tentative="1">
      <w:start w:val="1"/>
      <w:numFmt w:val="bullet"/>
      <w:lvlText w:val="o"/>
      <w:lvlJc w:val="left"/>
      <w:pPr>
        <w:tabs>
          <w:tab w:val="num" w:pos="0"/>
        </w:tabs>
        <w:ind w:left="0" w:hanging="360"/>
      </w:pPr>
      <w:rPr>
        <w:rFonts w:ascii="Courier New" w:hAnsi="Courier New" w:hint="default"/>
      </w:rPr>
    </w:lvl>
    <w:lvl w:ilvl="2" w:tentative="1">
      <w:start w:val="1"/>
      <w:numFmt w:val="bullet"/>
      <w:lvlText w:val=""/>
      <w:lvlJc w:val="left"/>
      <w:pPr>
        <w:tabs>
          <w:tab w:val="num" w:pos="720"/>
        </w:tabs>
        <w:ind w:left="720" w:hanging="360"/>
      </w:pPr>
      <w:rPr>
        <w:rFonts w:ascii="Wingdings" w:hAnsi="Wingdings" w:hint="default"/>
      </w:rPr>
    </w:lvl>
    <w:lvl w:ilvl="3" w:tentative="1">
      <w:start w:val="1"/>
      <w:numFmt w:val="bullet"/>
      <w:lvlText w:val=""/>
      <w:lvlJc w:val="left"/>
      <w:pPr>
        <w:tabs>
          <w:tab w:val="num" w:pos="1440"/>
        </w:tabs>
        <w:ind w:left="1440" w:hanging="360"/>
      </w:pPr>
      <w:rPr>
        <w:rFonts w:ascii="Symbol" w:hAnsi="Symbol" w:hint="default"/>
      </w:rPr>
    </w:lvl>
    <w:lvl w:ilvl="4" w:tentative="1">
      <w:start w:val="1"/>
      <w:numFmt w:val="bullet"/>
      <w:lvlText w:val="o"/>
      <w:lvlJc w:val="left"/>
      <w:pPr>
        <w:tabs>
          <w:tab w:val="num" w:pos="2160"/>
        </w:tabs>
        <w:ind w:left="2160" w:hanging="360"/>
      </w:pPr>
      <w:rPr>
        <w:rFonts w:ascii="Courier New" w:hAnsi="Courier New" w:hint="default"/>
      </w:rPr>
    </w:lvl>
    <w:lvl w:ilvl="5" w:tentative="1">
      <w:start w:val="1"/>
      <w:numFmt w:val="bullet"/>
      <w:lvlText w:val=""/>
      <w:lvlJc w:val="left"/>
      <w:pPr>
        <w:tabs>
          <w:tab w:val="num" w:pos="2880"/>
        </w:tabs>
        <w:ind w:left="2880" w:hanging="360"/>
      </w:pPr>
      <w:rPr>
        <w:rFonts w:ascii="Wingdings" w:hAnsi="Wingdings" w:hint="default"/>
      </w:rPr>
    </w:lvl>
    <w:lvl w:ilvl="6" w:tentative="1">
      <w:start w:val="1"/>
      <w:numFmt w:val="bullet"/>
      <w:lvlText w:val=""/>
      <w:lvlJc w:val="left"/>
      <w:pPr>
        <w:tabs>
          <w:tab w:val="num" w:pos="3600"/>
        </w:tabs>
        <w:ind w:left="3600" w:hanging="360"/>
      </w:pPr>
      <w:rPr>
        <w:rFonts w:ascii="Symbol" w:hAnsi="Symbol" w:hint="default"/>
      </w:rPr>
    </w:lvl>
    <w:lvl w:ilvl="7" w:tentative="1">
      <w:start w:val="1"/>
      <w:numFmt w:val="bullet"/>
      <w:lvlText w:val="o"/>
      <w:lvlJc w:val="left"/>
      <w:pPr>
        <w:tabs>
          <w:tab w:val="num" w:pos="4320"/>
        </w:tabs>
        <w:ind w:left="4320" w:hanging="360"/>
      </w:pPr>
      <w:rPr>
        <w:rFonts w:ascii="Courier New" w:hAnsi="Courier New" w:hint="default"/>
      </w:rPr>
    </w:lvl>
    <w:lvl w:ilvl="8" w:tentative="1">
      <w:start w:val="1"/>
      <w:numFmt w:val="bullet"/>
      <w:lvlText w:val=""/>
      <w:lvlJc w:val="left"/>
      <w:pPr>
        <w:tabs>
          <w:tab w:val="num" w:pos="5040"/>
        </w:tabs>
        <w:ind w:left="5040" w:hanging="360"/>
      </w:pPr>
      <w:rPr>
        <w:rFonts w:ascii="Wingdings" w:hAnsi="Wingdings" w:hint="default"/>
      </w:rPr>
    </w:lvl>
  </w:abstractNum>
  <w:abstractNum w:abstractNumId="26" w15:restartNumberingAfterBreak="0">
    <w:nsid w:val="45286588"/>
    <w:multiLevelType w:val="hybridMultilevel"/>
    <w:tmpl w:val="DF1A9CA6"/>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7368F8"/>
    <w:multiLevelType w:val="hybridMultilevel"/>
    <w:tmpl w:val="95B4AA44"/>
    <w:lvl w:ilvl="0">
      <w:start w:val="4"/>
      <w:numFmt w:val="bullet"/>
      <w:lvlText w:val=""/>
      <w:lvlJc w:val="left"/>
      <w:pPr>
        <w:tabs>
          <w:tab w:val="num" w:pos="1080"/>
        </w:tabs>
        <w:ind w:left="1080" w:hanging="360"/>
      </w:pPr>
      <w:rPr>
        <w:rFonts w:ascii="Wingdings" w:eastAsia="Times New Roman" w:hAnsi="Wingdings"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33978D5"/>
    <w:multiLevelType w:val="hybridMultilevel"/>
    <w:tmpl w:val="C0D41A2A"/>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E12EB4"/>
    <w:multiLevelType w:val="hybridMultilevel"/>
    <w:tmpl w:val="B10480E2"/>
    <w:lvl w:ilvl="0">
      <w:start w:val="4"/>
      <w:numFmt w:val="bullet"/>
      <w:lvlText w:val=""/>
      <w:lvlJc w:val="left"/>
      <w:pPr>
        <w:tabs>
          <w:tab w:val="num" w:pos="360"/>
        </w:tabs>
        <w:ind w:left="360" w:hanging="360"/>
      </w:pPr>
      <w:rPr>
        <w:rFonts w:ascii="Wingdings" w:eastAsia="Times New Roman" w:hAnsi="Wingdings" w:cs="Times New Roman"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89D3BBA"/>
    <w:multiLevelType w:val="hybridMultilevel"/>
    <w:tmpl w:val="1F56664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A26239B"/>
    <w:multiLevelType w:val="hybridMultilevel"/>
    <w:tmpl w:val="451A6248"/>
    <w:lvl w:ilvl="0">
      <w:start w:val="4"/>
      <w:numFmt w:val="bullet"/>
      <w:lvlText w:val=""/>
      <w:lvlJc w:val="left"/>
      <w:pPr>
        <w:tabs>
          <w:tab w:val="num" w:pos="790"/>
        </w:tabs>
        <w:ind w:left="790" w:hanging="360"/>
      </w:pPr>
      <w:rPr>
        <w:rFonts w:ascii="Wingdings" w:eastAsia="Times New Roman" w:hAnsi="Wingdings" w:cs="Times New Roman" w:hint="default"/>
      </w:rPr>
    </w:lvl>
    <w:lvl w:ilvl="1" w:tentative="1">
      <w:start w:val="1"/>
      <w:numFmt w:val="bullet"/>
      <w:lvlText w:val="o"/>
      <w:lvlJc w:val="left"/>
      <w:pPr>
        <w:tabs>
          <w:tab w:val="num" w:pos="1510"/>
        </w:tabs>
        <w:ind w:left="1510" w:hanging="360"/>
      </w:pPr>
      <w:rPr>
        <w:rFonts w:ascii="Courier New" w:hAnsi="Courier New" w:hint="default"/>
      </w:rPr>
    </w:lvl>
    <w:lvl w:ilvl="2" w:tentative="1">
      <w:start w:val="1"/>
      <w:numFmt w:val="bullet"/>
      <w:lvlText w:val=""/>
      <w:lvlJc w:val="left"/>
      <w:pPr>
        <w:tabs>
          <w:tab w:val="num" w:pos="2230"/>
        </w:tabs>
        <w:ind w:left="2230" w:hanging="360"/>
      </w:pPr>
      <w:rPr>
        <w:rFonts w:ascii="Wingdings" w:hAnsi="Wingdings" w:hint="default"/>
      </w:rPr>
    </w:lvl>
    <w:lvl w:ilvl="3" w:tentative="1">
      <w:start w:val="1"/>
      <w:numFmt w:val="bullet"/>
      <w:lvlText w:val=""/>
      <w:lvlJc w:val="left"/>
      <w:pPr>
        <w:tabs>
          <w:tab w:val="num" w:pos="2950"/>
        </w:tabs>
        <w:ind w:left="2950" w:hanging="360"/>
      </w:pPr>
      <w:rPr>
        <w:rFonts w:ascii="Symbol" w:hAnsi="Symbol" w:hint="default"/>
      </w:rPr>
    </w:lvl>
    <w:lvl w:ilvl="4" w:tentative="1">
      <w:start w:val="1"/>
      <w:numFmt w:val="bullet"/>
      <w:lvlText w:val="o"/>
      <w:lvlJc w:val="left"/>
      <w:pPr>
        <w:tabs>
          <w:tab w:val="num" w:pos="3670"/>
        </w:tabs>
        <w:ind w:left="3670" w:hanging="360"/>
      </w:pPr>
      <w:rPr>
        <w:rFonts w:ascii="Courier New" w:hAnsi="Courier New" w:hint="default"/>
      </w:rPr>
    </w:lvl>
    <w:lvl w:ilvl="5" w:tentative="1">
      <w:start w:val="1"/>
      <w:numFmt w:val="bullet"/>
      <w:lvlText w:val=""/>
      <w:lvlJc w:val="left"/>
      <w:pPr>
        <w:tabs>
          <w:tab w:val="num" w:pos="4390"/>
        </w:tabs>
        <w:ind w:left="4390" w:hanging="360"/>
      </w:pPr>
      <w:rPr>
        <w:rFonts w:ascii="Wingdings" w:hAnsi="Wingdings" w:hint="default"/>
      </w:rPr>
    </w:lvl>
    <w:lvl w:ilvl="6" w:tentative="1">
      <w:start w:val="1"/>
      <w:numFmt w:val="bullet"/>
      <w:lvlText w:val=""/>
      <w:lvlJc w:val="left"/>
      <w:pPr>
        <w:tabs>
          <w:tab w:val="num" w:pos="5110"/>
        </w:tabs>
        <w:ind w:left="5110" w:hanging="360"/>
      </w:pPr>
      <w:rPr>
        <w:rFonts w:ascii="Symbol" w:hAnsi="Symbol" w:hint="default"/>
      </w:rPr>
    </w:lvl>
    <w:lvl w:ilvl="7" w:tentative="1">
      <w:start w:val="1"/>
      <w:numFmt w:val="bullet"/>
      <w:lvlText w:val="o"/>
      <w:lvlJc w:val="left"/>
      <w:pPr>
        <w:tabs>
          <w:tab w:val="num" w:pos="5830"/>
        </w:tabs>
        <w:ind w:left="5830" w:hanging="360"/>
      </w:pPr>
      <w:rPr>
        <w:rFonts w:ascii="Courier New" w:hAnsi="Courier New" w:hint="default"/>
      </w:rPr>
    </w:lvl>
    <w:lvl w:ilvl="8" w:tentative="1">
      <w:start w:val="1"/>
      <w:numFmt w:val="bullet"/>
      <w:lvlText w:val=""/>
      <w:lvlJc w:val="left"/>
      <w:pPr>
        <w:tabs>
          <w:tab w:val="num" w:pos="6550"/>
        </w:tabs>
        <w:ind w:left="6550" w:hanging="360"/>
      </w:pPr>
      <w:rPr>
        <w:rFonts w:ascii="Wingdings" w:hAnsi="Wingdings" w:hint="default"/>
      </w:rPr>
    </w:lvl>
  </w:abstractNum>
  <w:abstractNum w:abstractNumId="32" w15:restartNumberingAfterBreak="0">
    <w:nsid w:val="66E06088"/>
    <w:multiLevelType w:val="hybridMultilevel"/>
    <w:tmpl w:val="5B821CCC"/>
    <w:lvl w:ilvl="0" w:tplc="9AEAB216">
      <w:start w:val="4"/>
      <w:numFmt w:val="bullet"/>
      <w:lvlText w:val=""/>
      <w:lvlJc w:val="left"/>
      <w:pPr>
        <w:tabs>
          <w:tab w:val="num" w:pos="360"/>
        </w:tabs>
        <w:ind w:left="360" w:hanging="360"/>
      </w:pPr>
      <w:rPr>
        <w:rFonts w:ascii="Wingdings" w:eastAsia="Times New Roman" w:hAnsi="Wingdings" w:cs="Times New Roman" w:hint="default"/>
      </w:rPr>
    </w:lvl>
    <w:lvl w:ilvl="1" w:tplc="040C0019">
      <w:start w:val="1"/>
      <w:numFmt w:val="lowerLetter"/>
      <w:lvlText w:val="%2."/>
      <w:lvlJc w:val="left"/>
      <w:pPr>
        <w:tabs>
          <w:tab w:val="num" w:pos="1080"/>
        </w:tabs>
        <w:ind w:left="1080" w:hanging="360"/>
      </w:pPr>
    </w:lvl>
    <w:lvl w:ilvl="2" w:tplc="040C001B">
      <w:start w:val="1"/>
      <w:numFmt w:val="lowerRoman"/>
      <w:lvlText w:val="%3."/>
      <w:lvlJc w:val="right"/>
      <w:pPr>
        <w:tabs>
          <w:tab w:val="num" w:pos="1800"/>
        </w:tabs>
        <w:ind w:left="1800" w:hanging="180"/>
      </w:pPr>
    </w:lvl>
    <w:lvl w:ilvl="3" w:tplc="040C000F">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3" w15:restartNumberingAfterBreak="0">
    <w:nsid w:val="698A21AA"/>
    <w:multiLevelType w:val="hybridMultilevel"/>
    <w:tmpl w:val="22126EF0"/>
    <w:lvl w:ilvl="0" w:tplc="724895C8">
      <w:start w:val="4"/>
      <w:numFmt w:val="bullet"/>
      <w:lvlText w:val=""/>
      <w:lvlJc w:val="left"/>
      <w:pPr>
        <w:tabs>
          <w:tab w:val="num" w:pos="-1440"/>
        </w:tabs>
        <w:ind w:left="-1440" w:hanging="360"/>
      </w:pPr>
      <w:rPr>
        <w:rFonts w:ascii="Wingdings" w:eastAsia="Times New Roman" w:hAnsi="Wingdings" w:cs="Times New Roman" w:hint="default"/>
      </w:rPr>
    </w:lvl>
    <w:lvl w:ilvl="1" w:tplc="8C02D0BA">
      <w:start w:val="20"/>
      <w:numFmt w:val="bullet"/>
      <w:pStyle w:val="Liste"/>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720"/>
        </w:tabs>
        <w:ind w:left="-720" w:hanging="360"/>
      </w:pPr>
      <w:rPr>
        <w:rFonts w:ascii="Wingdings" w:hAnsi="Wingdings" w:hint="default"/>
      </w:rPr>
    </w:lvl>
    <w:lvl w:ilvl="3" w:tplc="FFFFFFFF">
      <w:start w:val="1"/>
      <w:numFmt w:val="bullet"/>
      <w:lvlText w:val=""/>
      <w:lvlJc w:val="left"/>
      <w:pPr>
        <w:tabs>
          <w:tab w:val="num" w:pos="0"/>
        </w:tabs>
        <w:ind w:left="0" w:hanging="360"/>
      </w:pPr>
      <w:rPr>
        <w:rFonts w:ascii="Symbol" w:hAnsi="Symbol" w:hint="default"/>
      </w:rPr>
    </w:lvl>
    <w:lvl w:ilvl="4" w:tplc="FFFFFFFF">
      <w:start w:val="1"/>
      <w:numFmt w:val="bullet"/>
      <w:lvlText w:val="o"/>
      <w:lvlJc w:val="left"/>
      <w:pPr>
        <w:tabs>
          <w:tab w:val="num" w:pos="720"/>
        </w:tabs>
        <w:ind w:left="720" w:hanging="360"/>
      </w:pPr>
      <w:rPr>
        <w:rFonts w:ascii="Courier New" w:hAnsi="Courier New" w:hint="default"/>
      </w:rPr>
    </w:lvl>
    <w:lvl w:ilvl="5" w:tplc="FFFFFFFF" w:tentative="1">
      <w:start w:val="1"/>
      <w:numFmt w:val="bullet"/>
      <w:lvlText w:val=""/>
      <w:lvlJc w:val="left"/>
      <w:pPr>
        <w:tabs>
          <w:tab w:val="num" w:pos="1440"/>
        </w:tabs>
        <w:ind w:left="1440" w:hanging="360"/>
      </w:pPr>
      <w:rPr>
        <w:rFonts w:ascii="Wingdings" w:hAnsi="Wingdings" w:hint="default"/>
      </w:rPr>
    </w:lvl>
    <w:lvl w:ilvl="6" w:tplc="FFFFFFFF" w:tentative="1">
      <w:start w:val="1"/>
      <w:numFmt w:val="bullet"/>
      <w:lvlText w:val=""/>
      <w:lvlJc w:val="left"/>
      <w:pPr>
        <w:tabs>
          <w:tab w:val="num" w:pos="2160"/>
        </w:tabs>
        <w:ind w:left="2160" w:hanging="360"/>
      </w:pPr>
      <w:rPr>
        <w:rFonts w:ascii="Symbol" w:hAnsi="Symbol" w:hint="default"/>
      </w:rPr>
    </w:lvl>
    <w:lvl w:ilvl="7" w:tplc="FFFFFFFF" w:tentative="1">
      <w:start w:val="1"/>
      <w:numFmt w:val="bullet"/>
      <w:lvlText w:val="o"/>
      <w:lvlJc w:val="left"/>
      <w:pPr>
        <w:tabs>
          <w:tab w:val="num" w:pos="2880"/>
        </w:tabs>
        <w:ind w:left="2880" w:hanging="360"/>
      </w:pPr>
      <w:rPr>
        <w:rFonts w:ascii="Courier New" w:hAnsi="Courier New" w:hint="default"/>
      </w:rPr>
    </w:lvl>
    <w:lvl w:ilvl="8" w:tplc="FFFFFFFF" w:tentative="1">
      <w:start w:val="1"/>
      <w:numFmt w:val="bullet"/>
      <w:lvlText w:val=""/>
      <w:lvlJc w:val="left"/>
      <w:pPr>
        <w:tabs>
          <w:tab w:val="num" w:pos="3600"/>
        </w:tabs>
        <w:ind w:left="3600" w:hanging="360"/>
      </w:pPr>
      <w:rPr>
        <w:rFonts w:ascii="Wingdings" w:hAnsi="Wingdings" w:hint="default"/>
      </w:rPr>
    </w:lvl>
  </w:abstractNum>
  <w:abstractNum w:abstractNumId="34" w15:restartNumberingAfterBreak="0">
    <w:nsid w:val="69B05227"/>
    <w:multiLevelType w:val="hybridMultilevel"/>
    <w:tmpl w:val="C2C2492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D0A6FEC"/>
    <w:multiLevelType w:val="hybridMultilevel"/>
    <w:tmpl w:val="1A04499A"/>
    <w:lvl w:ilvl="0">
      <w:start w:val="4"/>
      <w:numFmt w:val="bullet"/>
      <w:lvlText w:val=""/>
      <w:lvlJc w:val="left"/>
      <w:pPr>
        <w:tabs>
          <w:tab w:val="num" w:pos="360"/>
        </w:tabs>
        <w:ind w:left="360" w:hanging="360"/>
      </w:pPr>
      <w:rPr>
        <w:rFonts w:ascii="Wingdings" w:eastAsia="Times New Roman" w:hAnsi="Wingdings" w:cs="Times New Roman"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E24376A"/>
    <w:multiLevelType w:val="hybridMultilevel"/>
    <w:tmpl w:val="FD265926"/>
    <w:lvl w:ilvl="0" w:tplc="FFFFFFFF">
      <w:start w:val="4"/>
      <w:numFmt w:val="bullet"/>
      <w:lvlText w:val=""/>
      <w:lvlJc w:val="left"/>
      <w:pPr>
        <w:tabs>
          <w:tab w:val="num" w:pos="-1440"/>
        </w:tabs>
        <w:ind w:left="-1440" w:hanging="360"/>
      </w:pPr>
      <w:rPr>
        <w:rFonts w:ascii="Wingdings" w:eastAsia="Times New Roman" w:hAnsi="Wingdings" w:cs="Times New Roman" w:hint="default"/>
      </w:rPr>
    </w:lvl>
    <w:lvl w:ilvl="1" w:tplc="8C02D0BA">
      <w:start w:val="2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720"/>
        </w:tabs>
        <w:ind w:left="-720" w:hanging="360"/>
      </w:pPr>
      <w:rPr>
        <w:rFonts w:ascii="Wingdings" w:hAnsi="Wingdings" w:hint="default"/>
      </w:rPr>
    </w:lvl>
    <w:lvl w:ilvl="3" w:tplc="FFFFFFFF">
      <w:start w:val="1"/>
      <w:numFmt w:val="bullet"/>
      <w:lvlText w:val=""/>
      <w:lvlJc w:val="left"/>
      <w:pPr>
        <w:tabs>
          <w:tab w:val="num" w:pos="0"/>
        </w:tabs>
        <w:ind w:left="0" w:hanging="360"/>
      </w:pPr>
      <w:rPr>
        <w:rFonts w:ascii="Symbol" w:hAnsi="Symbol" w:hint="default"/>
      </w:rPr>
    </w:lvl>
    <w:lvl w:ilvl="4" w:tplc="80301500">
      <w:start w:val="2"/>
      <w:numFmt w:val="bullet"/>
      <w:lvlText w:val="-"/>
      <w:lvlJc w:val="left"/>
      <w:pPr>
        <w:tabs>
          <w:tab w:val="num" w:pos="720"/>
        </w:tabs>
        <w:ind w:left="720" w:hanging="360"/>
      </w:pPr>
      <w:rPr>
        <w:rFonts w:ascii="Times New Roman" w:hAnsi="Times New Roman" w:hint="default"/>
      </w:rPr>
    </w:lvl>
    <w:lvl w:ilvl="5" w:tplc="FFFFFFFF" w:tentative="1">
      <w:start w:val="1"/>
      <w:numFmt w:val="bullet"/>
      <w:lvlText w:val=""/>
      <w:lvlJc w:val="left"/>
      <w:pPr>
        <w:tabs>
          <w:tab w:val="num" w:pos="1440"/>
        </w:tabs>
        <w:ind w:left="1440" w:hanging="360"/>
      </w:pPr>
      <w:rPr>
        <w:rFonts w:ascii="Wingdings" w:hAnsi="Wingdings" w:hint="default"/>
      </w:rPr>
    </w:lvl>
    <w:lvl w:ilvl="6" w:tplc="FFFFFFFF" w:tentative="1">
      <w:start w:val="1"/>
      <w:numFmt w:val="bullet"/>
      <w:lvlText w:val=""/>
      <w:lvlJc w:val="left"/>
      <w:pPr>
        <w:tabs>
          <w:tab w:val="num" w:pos="2160"/>
        </w:tabs>
        <w:ind w:left="2160" w:hanging="360"/>
      </w:pPr>
      <w:rPr>
        <w:rFonts w:ascii="Symbol" w:hAnsi="Symbol" w:hint="default"/>
      </w:rPr>
    </w:lvl>
    <w:lvl w:ilvl="7" w:tplc="FFFFFFFF" w:tentative="1">
      <w:start w:val="1"/>
      <w:numFmt w:val="bullet"/>
      <w:lvlText w:val="o"/>
      <w:lvlJc w:val="left"/>
      <w:pPr>
        <w:tabs>
          <w:tab w:val="num" w:pos="2880"/>
        </w:tabs>
        <w:ind w:left="2880" w:hanging="360"/>
      </w:pPr>
      <w:rPr>
        <w:rFonts w:ascii="Courier New" w:hAnsi="Courier New" w:hint="default"/>
      </w:rPr>
    </w:lvl>
    <w:lvl w:ilvl="8" w:tplc="FFFFFFFF" w:tentative="1">
      <w:start w:val="1"/>
      <w:numFmt w:val="bullet"/>
      <w:lvlText w:val=""/>
      <w:lvlJc w:val="left"/>
      <w:pPr>
        <w:tabs>
          <w:tab w:val="num" w:pos="3600"/>
        </w:tabs>
        <w:ind w:left="3600" w:hanging="360"/>
      </w:pPr>
      <w:rPr>
        <w:rFonts w:ascii="Wingdings" w:hAnsi="Wingdings" w:hint="default"/>
      </w:rPr>
    </w:lvl>
  </w:abstractNum>
  <w:abstractNum w:abstractNumId="37" w15:restartNumberingAfterBreak="0">
    <w:nsid w:val="6FA274C0"/>
    <w:multiLevelType w:val="hybridMultilevel"/>
    <w:tmpl w:val="8812A6EA"/>
    <w:lvl w:ilvl="0">
      <w:start w:val="4"/>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C46045"/>
    <w:multiLevelType w:val="hybridMultilevel"/>
    <w:tmpl w:val="50DC784E"/>
    <w:lvl w:ilvl="0" w:tplc="9AEAB216">
      <w:start w:val="4"/>
      <w:numFmt w:val="bullet"/>
      <w:lvlText w:val=""/>
      <w:lvlJc w:val="left"/>
      <w:pPr>
        <w:tabs>
          <w:tab w:val="num" w:pos="720"/>
        </w:tabs>
        <w:ind w:left="720" w:hanging="360"/>
      </w:pPr>
      <w:rPr>
        <w:rFonts w:ascii="Wingdings" w:eastAsia="Times New Roman" w:hAnsi="Wingdings"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2A1237"/>
    <w:multiLevelType w:val="hybridMultilevel"/>
    <w:tmpl w:val="79BA46C6"/>
    <w:lvl w:ilvl="0">
      <w:start w:val="1"/>
      <w:numFmt w:val="decimal"/>
      <w:lvlText w:val="%1."/>
      <w:lvlJc w:val="left"/>
      <w:pPr>
        <w:tabs>
          <w:tab w:val="num" w:pos="1440"/>
        </w:tabs>
        <w:ind w:left="144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lvl w:ilvl="0">
        <w:numFmt w:val="bullet"/>
        <w:lvlText w:val="•"/>
        <w:legacy w:legacy="1" w:legacySpace="0" w:legacyIndent="0"/>
        <w:lvlJc w:val="left"/>
        <w:rPr>
          <w:rFonts w:ascii="Arial" w:hAnsi="Arial" w:hint="default"/>
          <w:sz w:val="56"/>
        </w:rPr>
      </w:lvl>
    </w:lvlOverride>
  </w:num>
  <w:num w:numId="2">
    <w:abstractNumId w:val="2"/>
    <w:lvlOverride w:ilvl="0">
      <w:lvl w:ilvl="0">
        <w:numFmt w:val="bullet"/>
        <w:lvlText w:val="–"/>
        <w:legacy w:legacy="1" w:legacySpace="0" w:legacyIndent="0"/>
        <w:lvlJc w:val="left"/>
        <w:rPr>
          <w:rFonts w:ascii="Arial" w:hAnsi="Arial" w:hint="default"/>
          <w:sz w:val="48"/>
        </w:rPr>
      </w:lvl>
    </w:lvlOverride>
  </w:num>
  <w:num w:numId="3">
    <w:abstractNumId w:val="33"/>
  </w:num>
  <w:num w:numId="4">
    <w:abstractNumId w:val="39"/>
  </w:num>
  <w:num w:numId="5">
    <w:abstractNumId w:val="3"/>
  </w:num>
  <w:num w:numId="6">
    <w:abstractNumId w:val="23"/>
  </w:num>
  <w:num w:numId="7">
    <w:abstractNumId w:val="27"/>
  </w:num>
  <w:num w:numId="8">
    <w:abstractNumId w:val="24"/>
  </w:num>
  <w:num w:numId="9">
    <w:abstractNumId w:val="11"/>
  </w:num>
  <w:num w:numId="10">
    <w:abstractNumId w:val="6"/>
  </w:num>
  <w:num w:numId="11">
    <w:abstractNumId w:val="25"/>
  </w:num>
  <w:num w:numId="12">
    <w:abstractNumId w:val="17"/>
  </w:num>
  <w:num w:numId="13">
    <w:abstractNumId w:val="20"/>
  </w:num>
  <w:num w:numId="14">
    <w:abstractNumId w:val="16"/>
  </w:num>
  <w:num w:numId="15">
    <w:abstractNumId w:val="30"/>
  </w:num>
  <w:num w:numId="16">
    <w:abstractNumId w:val="35"/>
  </w:num>
  <w:num w:numId="17">
    <w:abstractNumId w:val="7"/>
  </w:num>
  <w:num w:numId="18">
    <w:abstractNumId w:val="31"/>
  </w:num>
  <w:num w:numId="19">
    <w:abstractNumId w:val="37"/>
  </w:num>
  <w:num w:numId="20">
    <w:abstractNumId w:val="4"/>
  </w:num>
  <w:num w:numId="21">
    <w:abstractNumId w:val="34"/>
  </w:num>
  <w:num w:numId="22">
    <w:abstractNumId w:val="15"/>
  </w:num>
  <w:num w:numId="23">
    <w:abstractNumId w:val="26"/>
  </w:num>
  <w:num w:numId="24">
    <w:abstractNumId w:val="13"/>
  </w:num>
  <w:num w:numId="25">
    <w:abstractNumId w:val="19"/>
  </w:num>
  <w:num w:numId="26">
    <w:abstractNumId w:val="14"/>
  </w:num>
  <w:num w:numId="27">
    <w:abstractNumId w:val="10"/>
  </w:num>
  <w:num w:numId="28">
    <w:abstractNumId w:val="28"/>
  </w:num>
  <w:num w:numId="29">
    <w:abstractNumId w:val="8"/>
  </w:num>
  <w:num w:numId="30">
    <w:abstractNumId w:val="29"/>
  </w:num>
  <w:num w:numId="31">
    <w:abstractNumId w:val="36"/>
  </w:num>
  <w:num w:numId="32">
    <w:abstractNumId w:val="38"/>
  </w:num>
  <w:num w:numId="33">
    <w:abstractNumId w:val="0"/>
  </w:num>
  <w:num w:numId="34">
    <w:abstractNumId w:val="1"/>
  </w:num>
  <w:num w:numId="35">
    <w:abstractNumId w:val="12"/>
  </w:num>
  <w:num w:numId="36">
    <w:abstractNumId w:val="9"/>
  </w:num>
  <w:num w:numId="37">
    <w:abstractNumId w:val="32"/>
  </w:num>
  <w:num w:numId="38">
    <w:abstractNumId w:val="18"/>
  </w:num>
  <w:num w:numId="39">
    <w:abstractNumId w:val="22"/>
  </w:num>
  <w:num w:numId="40">
    <w:abstractNumId w:val="5"/>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1DB4"/>
    <w:rsid w:val="003B1DB4"/>
    <w:rsid w:val="005912C4"/>
    <w:rsid w:val="00AA11C7"/>
    <w:rsid w:val="00F77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6FC1C6-FF08-4B65-8F23-824A5BB2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pPr>
      <w:spacing w:before="60" w:after="60"/>
      <w:jc w:val="both"/>
    </w:pPr>
    <w:rPr>
      <w:sz w:val="24"/>
      <w:lang w:val="en-US" w:eastAsia="fr-FR"/>
    </w:rPr>
  </w:style>
  <w:style w:type="paragraph" w:styleId="Titre1">
    <w:name w:val="heading 1"/>
    <w:basedOn w:val="Normal"/>
    <w:next w:val="Normal"/>
    <w:autoRedefine/>
    <w:qFormat/>
    <w:pPr>
      <w:keepNext/>
      <w:spacing w:before="240" w:after="240"/>
      <w:jc w:val="center"/>
      <w:outlineLvl w:val="0"/>
    </w:pPr>
    <w:rPr>
      <w:b/>
      <w:caps/>
      <w:sz w:val="28"/>
    </w:rPr>
  </w:style>
  <w:style w:type="paragraph" w:styleId="Titre2">
    <w:name w:val="heading 2"/>
    <w:basedOn w:val="Normal"/>
    <w:next w:val="Normal"/>
    <w:qFormat/>
    <w:pPr>
      <w:keepNext/>
      <w:jc w:val="center"/>
      <w:outlineLvl w:val="1"/>
    </w:pPr>
    <w:rPr>
      <w:b/>
      <w:bCs/>
    </w:rPr>
  </w:style>
  <w:style w:type="paragraph" w:styleId="Titre3">
    <w:name w:val="heading 3"/>
    <w:basedOn w:val="Normal"/>
    <w:next w:val="Normal"/>
    <w:qFormat/>
    <w:pPr>
      <w:keepNext/>
      <w:outlineLvl w:val="2"/>
    </w:pPr>
    <w:rPr>
      <w:b/>
      <w:bCs/>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expditeur">
    <w:name w:val="envelope return"/>
    <w:basedOn w:val="Normal"/>
    <w:semiHidden/>
    <w:rPr>
      <w:rFonts w:ascii="BernhardMod BT" w:hAnsi="BernhardMod BT"/>
      <w:i/>
    </w:rPr>
  </w:style>
  <w:style w:type="paragraph" w:styleId="En-tte">
    <w:name w:val="header"/>
    <w:basedOn w:val="Normal"/>
    <w:semiHidden/>
    <w:pPr>
      <w:tabs>
        <w:tab w:val="center" w:pos="4320"/>
        <w:tab w:val="right" w:pos="8640"/>
      </w:tabs>
    </w:pPr>
  </w:style>
  <w:style w:type="paragraph" w:styleId="Pieddepage">
    <w:name w:val="footer"/>
    <w:basedOn w:val="Normal"/>
    <w:semiHidden/>
    <w:pPr>
      <w:tabs>
        <w:tab w:val="center" w:pos="4320"/>
        <w:tab w:val="right" w:pos="8640"/>
      </w:tabs>
    </w:pPr>
  </w:style>
  <w:style w:type="paragraph" w:styleId="Titre">
    <w:name w:val="Title"/>
    <w:basedOn w:val="Normal"/>
    <w:qFormat/>
    <w:pPr>
      <w:jc w:val="center"/>
    </w:pPr>
    <w:rPr>
      <w:b/>
      <w:sz w:val="36"/>
    </w:rPr>
  </w:style>
  <w:style w:type="paragraph" w:styleId="Corpsdetexte">
    <w:name w:val="Body Text"/>
    <w:basedOn w:val="Normal"/>
    <w:semiHidden/>
    <w:rPr>
      <w:lang w:val="en-GB"/>
    </w:rPr>
  </w:style>
  <w:style w:type="paragraph" w:styleId="Corpsdetexte2">
    <w:name w:val="Body Text 2"/>
    <w:basedOn w:val="Normal"/>
    <w:semiHidden/>
    <w:rPr>
      <w:sz w:val="28"/>
      <w:lang w:val="fr-FR"/>
    </w:rPr>
  </w:style>
  <w:style w:type="character" w:styleId="Numrodepage">
    <w:name w:val="page number"/>
    <w:basedOn w:val="Policepardfaut"/>
    <w:semiHidden/>
  </w:style>
  <w:style w:type="paragraph" w:customStyle="1" w:styleId="liste1">
    <w:name w:val="liste1"/>
    <w:basedOn w:val="Normal"/>
    <w:pPr>
      <w:numPr>
        <w:numId w:val="41"/>
      </w:numPr>
      <w:spacing w:before="0" w:after="0"/>
    </w:pPr>
  </w:style>
  <w:style w:type="paragraph" w:styleId="Retraitcorpsdetexte">
    <w:name w:val="Body Text Indent"/>
    <w:basedOn w:val="Normal"/>
    <w:semiHidden/>
    <w:pPr>
      <w:ind w:left="720"/>
    </w:pPr>
    <w:rPr>
      <w:szCs w:val="12"/>
    </w:rPr>
  </w:style>
  <w:style w:type="paragraph" w:styleId="Retraitcorpsdetexte2">
    <w:name w:val="Body Text Indent 2"/>
    <w:basedOn w:val="Normal"/>
    <w:semiHidden/>
    <w:pPr>
      <w:ind w:left="360"/>
    </w:pPr>
  </w:style>
  <w:style w:type="paragraph" w:styleId="Lgende">
    <w:name w:val="caption"/>
    <w:basedOn w:val="Normal"/>
    <w:next w:val="Normal"/>
    <w:qFormat/>
    <w:rPr>
      <w:b/>
      <w:bCs/>
    </w:rPr>
  </w:style>
  <w:style w:type="paragraph" w:styleId="Liste">
    <w:name w:val="List"/>
    <w:basedOn w:val="Normal"/>
    <w:semiHidden/>
    <w:pPr>
      <w:numPr>
        <w:ilvl w:val="1"/>
        <w:numId w:val="3"/>
      </w:numPr>
    </w:pPr>
  </w:style>
  <w:style w:type="paragraph" w:customStyle="1" w:styleId="liste2">
    <w:name w:val="liste2"/>
    <w:basedOn w:val="liste1"/>
    <w:next w:val="liste1"/>
    <w:autoRedefine/>
    <w:pPr>
      <w:numPr>
        <w:numId w:val="8"/>
      </w:numPr>
      <w:ind w:left="1080"/>
    </w:pPr>
    <w:rPr>
      <w:szCs w:val="16"/>
    </w:rPr>
  </w:style>
  <w:style w:type="paragraph" w:customStyle="1" w:styleId="liste3">
    <w:name w:val="liste 3"/>
    <w:basedOn w:val="liste2"/>
    <w:autoRedefine/>
    <w:pPr>
      <w:ind w:left="1440"/>
    </w:pPr>
  </w:style>
  <w:style w:type="paragraph" w:styleId="Listepuces">
    <w:name w:val="List Bullet"/>
    <w:basedOn w:val="Normal"/>
    <w:autoRedefine/>
    <w:semiHidden/>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3054</Words>
  <Characters>17413</Characters>
  <Application>Microsoft Office Word</Application>
  <DocSecurity>0</DocSecurity>
  <Lines>145</Lines>
  <Paragraphs>40</Paragraphs>
  <ScaleCrop>false</ScaleCrop>
  <HeadingPairs>
    <vt:vector size="2" baseType="variant">
      <vt:variant>
        <vt:lpstr>Titre</vt:lpstr>
      </vt:variant>
      <vt:variant>
        <vt:i4>1</vt:i4>
      </vt:variant>
    </vt:vector>
  </HeadingPairs>
  <TitlesOfParts>
    <vt:vector size="1" baseType="lpstr">
      <vt:lpstr>A FLOW STREAM APPROACH FOR PROCESS CELL MODULARIZATION</vt:lpstr>
    </vt:vector>
  </TitlesOfParts>
  <Company>Consultant</Company>
  <LinksUpToDate>false</LinksUpToDate>
  <CharactersWithSpaces>20427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FLOW STREAM APPROACH FOR PROCESS CELL MODULARIZATION</dc:title>
  <dc:subject/>
  <dc:creator>Jean Vieille</dc:creator>
  <cp:keywords/>
  <dc:description>WBF2000 - Atlantic City</dc:description>
  <cp:lastModifiedBy>Jean Vieille</cp:lastModifiedBy>
  <cp:revision>2</cp:revision>
  <cp:lastPrinted>2000-01-11T15:53:00Z</cp:lastPrinted>
  <dcterms:created xsi:type="dcterms:W3CDTF">2016-07-06T05:28:00Z</dcterms:created>
  <dcterms:modified xsi:type="dcterms:W3CDTF">2016-07-06T05:28:00Z</dcterms:modified>
</cp:coreProperties>
</file>